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before="120" w:line="240" w:lineRule="auto"/>
        <w:rPr>
          <w:color w:val="000000"/>
          <w:kern w:val="0"/>
          <w:sz w:val="24"/>
          <w:szCs w:val="24"/>
        </w:rPr>
      </w:pPr>
    </w:p>
    <w:p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21"/>
        </w:rPr>
        <w:t>2020年度国家科学技术进步奖提名公示信息</w:t>
      </w:r>
    </w:p>
    <w:bookmarkEnd w:id="0"/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30"/>
        <w:gridCol w:w="50"/>
        <w:gridCol w:w="1980"/>
        <w:gridCol w:w="810"/>
        <w:gridCol w:w="48"/>
        <w:gridCol w:w="3"/>
        <w:gridCol w:w="1443"/>
        <w:gridCol w:w="1276"/>
        <w:gridCol w:w="283"/>
        <w:gridCol w:w="1327"/>
        <w:gridCol w:w="1508"/>
        <w:gridCol w:w="30"/>
        <w:gridCol w:w="132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</w:p>
        </w:tc>
        <w:tc>
          <w:tcPr>
            <w:tcW w:w="5893" w:type="dxa"/>
            <w:gridSpan w:val="8"/>
            <w:vAlign w:val="center"/>
          </w:tcPr>
          <w:p>
            <w:pPr>
              <w:spacing w:line="240" w:lineRule="auto"/>
              <w:ind w:firstLine="211" w:firstLineChars="10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优质珍珠产业化技术创新与应用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40" w:lineRule="auto"/>
              <w:ind w:firstLine="22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提名等级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240" w:lineRule="auto"/>
              <w:ind w:firstLine="211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提名专家</w:t>
            </w:r>
          </w:p>
        </w:tc>
        <w:tc>
          <w:tcPr>
            <w:tcW w:w="2888" w:type="dxa"/>
            <w:gridSpan w:val="4"/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3005" w:type="dxa"/>
            <w:gridSpan w:val="4"/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学科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2"/>
              </w:rPr>
            </w:pPr>
          </w:p>
        </w:tc>
        <w:tc>
          <w:tcPr>
            <w:tcW w:w="2891" w:type="dxa"/>
            <w:gridSpan w:val="5"/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包振民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中国海洋大学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院士、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教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授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2"/>
              </w:rPr>
            </w:pPr>
          </w:p>
        </w:tc>
        <w:tc>
          <w:tcPr>
            <w:tcW w:w="2891" w:type="dxa"/>
            <w:gridSpan w:val="5"/>
          </w:tcPr>
          <w:p>
            <w:pPr>
              <w:spacing w:line="240" w:lineRule="auto"/>
              <w:ind w:firstLine="210" w:firstLineChars="10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桂建芳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中国科学院水生生物研究所</w:t>
            </w:r>
          </w:p>
        </w:tc>
        <w:tc>
          <w:tcPr>
            <w:tcW w:w="2835" w:type="dxa"/>
            <w:gridSpan w:val="2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院士、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研究员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2"/>
              </w:rPr>
            </w:pPr>
          </w:p>
        </w:tc>
        <w:tc>
          <w:tcPr>
            <w:tcW w:w="2891" w:type="dxa"/>
            <w:gridSpan w:val="5"/>
          </w:tcPr>
          <w:p>
            <w:pPr>
              <w:spacing w:line="240" w:lineRule="auto"/>
              <w:ind w:firstLine="210" w:firstLineChars="10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刘少军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湖南师范大学</w:t>
            </w:r>
          </w:p>
        </w:tc>
        <w:tc>
          <w:tcPr>
            <w:tcW w:w="2835" w:type="dxa"/>
            <w:gridSpan w:val="2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院士、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教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授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</w:tc>
        <w:tc>
          <w:tcPr>
            <w:tcW w:w="11566" w:type="dxa"/>
            <w:gridSpan w:val="13"/>
          </w:tcPr>
          <w:p>
            <w:pPr>
              <w:spacing w:line="240" w:lineRule="auto"/>
              <w:ind w:firstLine="210" w:firstLineChars="10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谢绍河、杜晓东、何毛贤、邓岳文、张殿昌、梁飞龙、童银洪、林展新、王钦贵、林伟财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主要完成单位</w:t>
            </w:r>
          </w:p>
        </w:tc>
        <w:tc>
          <w:tcPr>
            <w:tcW w:w="11566" w:type="dxa"/>
            <w:gridSpan w:val="13"/>
          </w:tcPr>
          <w:p>
            <w:pPr>
              <w:spacing w:line="240" w:lineRule="auto"/>
              <w:ind w:left="221" w:leftChars="69" w:firstLine="1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广东海洋大学、广东绍河珍珠有限公司、中国科学院南海海洋研究所、中国水产科学研究院南海水产研究所、淮安绍河珍珠研究院有限公司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5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主要知识产权和标准规范等目录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知识产权（标准）具体名称</w:t>
            </w:r>
          </w:p>
        </w:tc>
        <w:tc>
          <w:tcPr>
            <w:tcW w:w="81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国家</w:t>
            </w:r>
          </w:p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（地区）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授权号（标准编号）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授权（标准发布）日期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证书编号</w:t>
            </w:r>
            <w:r>
              <w:rPr>
                <w:rFonts w:ascii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/>
                <w:color w:val="000000"/>
                <w:sz w:val="21"/>
                <w:szCs w:val="21"/>
              </w:rPr>
              <w:t>（标准批准发布部门）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权利人（标准起草单位）</w:t>
            </w:r>
          </w:p>
        </w:tc>
        <w:tc>
          <w:tcPr>
            <w:tcW w:w="1325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发明人（标准起草人）</w:t>
            </w:r>
          </w:p>
        </w:tc>
        <w:tc>
          <w:tcPr>
            <w:tcW w:w="1483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>
              <w:rPr>
                <w:rFonts w:hint="eastAsia" w:eastAsia="仿宋" w:cs="Times New Roman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用淡水河蚌养殖珍珠的插核方法</w:t>
            </w:r>
          </w:p>
        </w:tc>
        <w:tc>
          <w:tcPr>
            <w:tcW w:w="81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ZL00117190.9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2004.08.25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168573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</w:t>
            </w:r>
          </w:p>
        </w:tc>
        <w:tc>
          <w:tcPr>
            <w:tcW w:w="1325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</w:t>
            </w:r>
          </w:p>
        </w:tc>
        <w:tc>
          <w:tcPr>
            <w:tcW w:w="1483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>
              <w:rPr>
                <w:rFonts w:hint="eastAsia" w:eastAsia="仿宋" w:cs="Times New Roman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一种淡水有核再生珠的养殖方法</w:t>
            </w:r>
          </w:p>
        </w:tc>
        <w:tc>
          <w:tcPr>
            <w:tcW w:w="81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ZL00129957.3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2004.08.25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169012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</w:t>
            </w:r>
          </w:p>
        </w:tc>
        <w:tc>
          <w:tcPr>
            <w:tcW w:w="1325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</w:t>
            </w:r>
          </w:p>
        </w:tc>
        <w:tc>
          <w:tcPr>
            <w:tcW w:w="1483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>
              <w:rPr>
                <w:rFonts w:eastAsia="仿宋" w:cs="Times New Roman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一种造形附壳珍珠的养殖方法及其使用的造形珠核</w:t>
            </w:r>
          </w:p>
        </w:tc>
        <w:tc>
          <w:tcPr>
            <w:tcW w:w="81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ZL03140187.2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2006.05.24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266038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</w:t>
            </w:r>
          </w:p>
        </w:tc>
        <w:tc>
          <w:tcPr>
            <w:tcW w:w="1325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</w:t>
            </w:r>
          </w:p>
        </w:tc>
        <w:tc>
          <w:tcPr>
            <w:tcW w:w="1483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>
              <w:rPr>
                <w:rFonts w:eastAsia="仿宋" w:cs="Times New Roman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用河蚌内脏囊植核培育大珍珠的养殖方法</w:t>
            </w:r>
          </w:p>
        </w:tc>
        <w:tc>
          <w:tcPr>
            <w:tcW w:w="81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ZL201010537371.5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2012.11.07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1075089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谢绍河、谢郁</w:t>
            </w:r>
          </w:p>
        </w:tc>
        <w:tc>
          <w:tcPr>
            <w:tcW w:w="1325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谢绍河、谢郁</w:t>
            </w:r>
          </w:p>
        </w:tc>
        <w:tc>
          <w:tcPr>
            <w:tcW w:w="1483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>
              <w:rPr>
                <w:rFonts w:eastAsia="仿宋" w:cs="Times New Roman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用河蚌外套膜培育高值化游离造型珍珠的养殖方法</w:t>
            </w:r>
          </w:p>
        </w:tc>
        <w:tc>
          <w:tcPr>
            <w:tcW w:w="81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ZL201110361388.4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2013.06.12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1214296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</w:t>
            </w:r>
          </w:p>
        </w:tc>
        <w:tc>
          <w:tcPr>
            <w:tcW w:w="1325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</w:t>
            </w:r>
          </w:p>
        </w:tc>
        <w:tc>
          <w:tcPr>
            <w:tcW w:w="1483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>
              <w:rPr>
                <w:rFonts w:eastAsia="仿宋" w:cs="Times New Roman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一种用河蚌斧足部位植核高效育珠方法</w:t>
            </w:r>
          </w:p>
        </w:tc>
        <w:tc>
          <w:tcPr>
            <w:tcW w:w="81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ZL201410370422.8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2016.03.30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2005742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谢绍河、谢郁</w:t>
            </w:r>
          </w:p>
        </w:tc>
        <w:tc>
          <w:tcPr>
            <w:tcW w:w="1325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谢绍河、谢郁</w:t>
            </w:r>
          </w:p>
        </w:tc>
        <w:tc>
          <w:tcPr>
            <w:tcW w:w="1483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>
              <w:rPr>
                <w:rFonts w:eastAsia="仿宋" w:cs="Times New Roman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一种河蚌内脏养殖造型珍珠的方法</w:t>
            </w:r>
          </w:p>
        </w:tc>
        <w:tc>
          <w:tcPr>
            <w:tcW w:w="81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ZL201410272187.0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2016.08.31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2221298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</w:t>
            </w:r>
          </w:p>
        </w:tc>
        <w:tc>
          <w:tcPr>
            <w:tcW w:w="1325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谢绍河</w:t>
            </w:r>
          </w:p>
        </w:tc>
        <w:tc>
          <w:tcPr>
            <w:tcW w:w="1483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>
              <w:rPr>
                <w:rFonts w:eastAsia="仿宋" w:cs="Times New Roman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一种马氏珠母贝优良育珠母贝的培育方法</w:t>
            </w:r>
          </w:p>
        </w:tc>
        <w:tc>
          <w:tcPr>
            <w:tcW w:w="81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ZL201410033634.7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2016.2.20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1951256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中国科学院南海海洋研究所</w:t>
            </w:r>
          </w:p>
        </w:tc>
        <w:tc>
          <w:tcPr>
            <w:tcW w:w="1325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何毛贤、林坚士、刘文广</w:t>
            </w:r>
          </w:p>
        </w:tc>
        <w:tc>
          <w:tcPr>
            <w:tcW w:w="1483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一种养殖马氏珠母贝分期式群体选育方法</w:t>
            </w:r>
          </w:p>
        </w:tc>
        <w:tc>
          <w:tcPr>
            <w:tcW w:w="81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ZL201010197634.2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2013.6.5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1208030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广东海洋大学</w:t>
            </w:r>
          </w:p>
        </w:tc>
        <w:tc>
          <w:tcPr>
            <w:tcW w:w="1325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邓岳文、杜晓东、符韶、梁飞龙、王庆恒</w:t>
            </w:r>
          </w:p>
        </w:tc>
        <w:tc>
          <w:tcPr>
            <w:tcW w:w="1483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eastAsia="仿宋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198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马氏珠母贝“海选1号”国家水产新品种</w:t>
            </w:r>
          </w:p>
        </w:tc>
        <w:tc>
          <w:tcPr>
            <w:tcW w:w="810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left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GS-01-008-2014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2015. 3.30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（2015）新品种证字第8号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广东海洋大学；雷州海威水产有限公司；广东绍河珍珠有限公司</w:t>
            </w:r>
          </w:p>
        </w:tc>
        <w:tc>
          <w:tcPr>
            <w:tcW w:w="1325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杜晓东、邓岳文、王庆恒、谢绍河、刘定</w:t>
            </w:r>
          </w:p>
        </w:tc>
        <w:tc>
          <w:tcPr>
            <w:tcW w:w="1483" w:type="dxa"/>
            <w:vAlign w:val="center"/>
          </w:tcPr>
          <w:p>
            <w:pPr>
              <w:pStyle w:val="4"/>
              <w:snapToGrid w:val="0"/>
              <w:spacing w:line="260" w:lineRule="exact"/>
              <w:ind w:firstLine="0" w:firstLineChars="0"/>
              <w:jc w:val="center"/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其它有效的知识产权</w:t>
            </w:r>
          </w:p>
        </w:tc>
      </w:tr>
    </w:tbl>
    <w:p>
      <w:pPr>
        <w:spacing w:line="20" w:lineRule="exact"/>
        <w:rPr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1134" w:bottom="1134" w:left="1134" w:header="57" w:footer="5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91"/>
    <w:rsid w:val="00021D26"/>
    <w:rsid w:val="00023CEF"/>
    <w:rsid w:val="00024597"/>
    <w:rsid w:val="000434CD"/>
    <w:rsid w:val="000B35D6"/>
    <w:rsid w:val="000C7F6B"/>
    <w:rsid w:val="001140EF"/>
    <w:rsid w:val="00116D81"/>
    <w:rsid w:val="00124973"/>
    <w:rsid w:val="0017059E"/>
    <w:rsid w:val="0019300A"/>
    <w:rsid w:val="001A1F1C"/>
    <w:rsid w:val="001B472D"/>
    <w:rsid w:val="001C156A"/>
    <w:rsid w:val="001E3696"/>
    <w:rsid w:val="00214153"/>
    <w:rsid w:val="00232FD9"/>
    <w:rsid w:val="00237010"/>
    <w:rsid w:val="00252019"/>
    <w:rsid w:val="00256109"/>
    <w:rsid w:val="00287332"/>
    <w:rsid w:val="0029207F"/>
    <w:rsid w:val="00297275"/>
    <w:rsid w:val="002E1ADA"/>
    <w:rsid w:val="002F1EA7"/>
    <w:rsid w:val="00337163"/>
    <w:rsid w:val="00362CE3"/>
    <w:rsid w:val="00385687"/>
    <w:rsid w:val="0039434A"/>
    <w:rsid w:val="003B5D31"/>
    <w:rsid w:val="003B6016"/>
    <w:rsid w:val="00421DF8"/>
    <w:rsid w:val="0045623B"/>
    <w:rsid w:val="00475956"/>
    <w:rsid w:val="00476E5C"/>
    <w:rsid w:val="004D1208"/>
    <w:rsid w:val="00504442"/>
    <w:rsid w:val="005116D5"/>
    <w:rsid w:val="005137AF"/>
    <w:rsid w:val="00526CE7"/>
    <w:rsid w:val="00585F76"/>
    <w:rsid w:val="00587D24"/>
    <w:rsid w:val="00596C77"/>
    <w:rsid w:val="005C2AD2"/>
    <w:rsid w:val="005C45AA"/>
    <w:rsid w:val="005D51AB"/>
    <w:rsid w:val="005E6D75"/>
    <w:rsid w:val="005F0750"/>
    <w:rsid w:val="00601DBC"/>
    <w:rsid w:val="00634134"/>
    <w:rsid w:val="00646ECD"/>
    <w:rsid w:val="006521D2"/>
    <w:rsid w:val="006B755E"/>
    <w:rsid w:val="006F58A8"/>
    <w:rsid w:val="007321E7"/>
    <w:rsid w:val="00743CCB"/>
    <w:rsid w:val="007462CD"/>
    <w:rsid w:val="007534FE"/>
    <w:rsid w:val="007612AC"/>
    <w:rsid w:val="00793C97"/>
    <w:rsid w:val="007A23FD"/>
    <w:rsid w:val="007B72B2"/>
    <w:rsid w:val="00801834"/>
    <w:rsid w:val="008213A9"/>
    <w:rsid w:val="0085752C"/>
    <w:rsid w:val="008955A7"/>
    <w:rsid w:val="008B4F68"/>
    <w:rsid w:val="008E3DEC"/>
    <w:rsid w:val="008F00A5"/>
    <w:rsid w:val="009243C8"/>
    <w:rsid w:val="00926200"/>
    <w:rsid w:val="009303B5"/>
    <w:rsid w:val="0094340D"/>
    <w:rsid w:val="00953187"/>
    <w:rsid w:val="009649B2"/>
    <w:rsid w:val="00977C5A"/>
    <w:rsid w:val="009C1ACA"/>
    <w:rsid w:val="009D3FAC"/>
    <w:rsid w:val="009E4603"/>
    <w:rsid w:val="009E4B6C"/>
    <w:rsid w:val="009F08CF"/>
    <w:rsid w:val="00A42189"/>
    <w:rsid w:val="00A64BC1"/>
    <w:rsid w:val="00A721D4"/>
    <w:rsid w:val="00A90967"/>
    <w:rsid w:val="00AB0DA4"/>
    <w:rsid w:val="00B84FA2"/>
    <w:rsid w:val="00B86806"/>
    <w:rsid w:val="00BE39BE"/>
    <w:rsid w:val="00BF39D0"/>
    <w:rsid w:val="00C3384B"/>
    <w:rsid w:val="00C37DB8"/>
    <w:rsid w:val="00C73532"/>
    <w:rsid w:val="00CA58B2"/>
    <w:rsid w:val="00CA661D"/>
    <w:rsid w:val="00CB4A5D"/>
    <w:rsid w:val="00CB5D93"/>
    <w:rsid w:val="00CC1191"/>
    <w:rsid w:val="00CE29EE"/>
    <w:rsid w:val="00D1337D"/>
    <w:rsid w:val="00D22372"/>
    <w:rsid w:val="00D50962"/>
    <w:rsid w:val="00D55D81"/>
    <w:rsid w:val="00D650FC"/>
    <w:rsid w:val="00D80739"/>
    <w:rsid w:val="00D92531"/>
    <w:rsid w:val="00D95C51"/>
    <w:rsid w:val="00DA6862"/>
    <w:rsid w:val="00DC0EB2"/>
    <w:rsid w:val="00E01790"/>
    <w:rsid w:val="00E02738"/>
    <w:rsid w:val="00E03187"/>
    <w:rsid w:val="00E730BB"/>
    <w:rsid w:val="00E93622"/>
    <w:rsid w:val="00E939F0"/>
    <w:rsid w:val="00EA1A1F"/>
    <w:rsid w:val="00EA780C"/>
    <w:rsid w:val="00F04EF3"/>
    <w:rsid w:val="00F0580D"/>
    <w:rsid w:val="00F16F50"/>
    <w:rsid w:val="00F24031"/>
    <w:rsid w:val="16C9354B"/>
    <w:rsid w:val="1D536E88"/>
    <w:rsid w:val="2EB83B76"/>
    <w:rsid w:val="38BB6DC4"/>
    <w:rsid w:val="3E3466CF"/>
    <w:rsid w:val="42582E81"/>
    <w:rsid w:val="494644B1"/>
    <w:rsid w:val="4AD125C8"/>
    <w:rsid w:val="5C7F6456"/>
    <w:rsid w:val="63DD208F"/>
    <w:rsid w:val="6D3F627A"/>
    <w:rsid w:val="6DF03805"/>
    <w:rsid w:val="6E5128AD"/>
    <w:rsid w:val="773E1269"/>
    <w:rsid w:val="7BF4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unhideWhenUsed/>
    <w:qFormat/>
    <w:uiPriority w:val="0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4">
    <w:name w:val="标题 2 Char"/>
    <w:basedOn w:val="10"/>
    <w:link w:val="3"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5">
    <w:name w:val="纯文本 Char"/>
    <w:basedOn w:val="10"/>
    <w:link w:val="4"/>
    <w:qFormat/>
    <w:uiPriority w:val="0"/>
    <w:rPr>
      <w:rFonts w:hint="eastAsia" w:ascii="仿宋_GB2312" w:eastAsia="仿宋_GB2312" w:cs="仿宋_GB2312"/>
      <w:kern w:val="2"/>
      <w:sz w:val="24"/>
    </w:rPr>
  </w:style>
  <w:style w:type="paragraph" w:customStyle="1" w:styleId="16">
    <w:name w:val="arti_metas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arti_publisher"/>
    <w:basedOn w:val="10"/>
    <w:qFormat/>
    <w:uiPriority w:val="0"/>
  </w:style>
  <w:style w:type="character" w:customStyle="1" w:styleId="18">
    <w:name w:val="arti_update"/>
    <w:basedOn w:val="10"/>
    <w:qFormat/>
    <w:uiPriority w:val="0"/>
  </w:style>
  <w:style w:type="character" w:customStyle="1" w:styleId="19">
    <w:name w:val="arti_views"/>
    <w:basedOn w:val="10"/>
    <w:qFormat/>
    <w:uiPriority w:val="0"/>
  </w:style>
  <w:style w:type="character" w:customStyle="1" w:styleId="20">
    <w:name w:val="wp_visitcoun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228</Words>
  <Characters>1300</Characters>
  <Lines>10</Lines>
  <Paragraphs>3</Paragraphs>
  <TotalTime>2</TotalTime>
  <ScaleCrop>false</ScaleCrop>
  <LinksUpToDate>false</LinksUpToDate>
  <CharactersWithSpaces>1525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2019-12-18T09:39:00Z</dcterms:created>
  <dc:creator>李昕然</dc:creator>
  <cp:lastModifiedBy>Administrator</cp:lastModifiedBy>
  <cp:lastPrinted>2019-12-25T00:39:00Z</cp:lastPrinted>
  <dcterms:modified xsi:type="dcterms:W3CDTF">2019-12-25T01:27:40Z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