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r>
        <w:rPr>
          <w:rFonts w:hint="eastAsia" w:ascii="黑体" w:hAnsi="黑体" w:eastAsia="黑体"/>
          <w:sz w:val="32"/>
          <w:szCs w:val="32"/>
        </w:rPr>
        <w:t>2018年校级优秀博士、硕士学位论文拟入选名单公示</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560" w:firstLineChars="200"/>
        <w:jc w:val="both"/>
        <w:textAlignment w:val="auto"/>
        <w:outlineLvl w:val="9"/>
        <w:rPr>
          <w:rFonts w:asciiTheme="minorEastAsia" w:hAnsiTheme="minorEastAsia" w:eastAsiaTheme="minorEastAsia"/>
          <w:sz w:val="28"/>
          <w:szCs w:val="28"/>
        </w:rPr>
      </w:pPr>
      <w:bookmarkStart w:id="0" w:name="_GoBack"/>
      <w:r>
        <w:rPr>
          <w:rFonts w:hint="eastAsia" w:asciiTheme="minorEastAsia" w:hAnsiTheme="minorEastAsia" w:eastAsiaTheme="minorEastAsia"/>
          <w:sz w:val="28"/>
          <w:szCs w:val="28"/>
        </w:rPr>
        <w:t>根据《广东海洋大学优秀博士、硕士学位论文评选及奖励暂行办法》（</w:t>
      </w:r>
      <w:r>
        <w:rPr>
          <w:rFonts w:hint="eastAsia" w:asciiTheme="minorEastAsia" w:hAnsiTheme="minorEastAsia" w:eastAsiaTheme="minorEastAsia"/>
          <w:kern w:val="2"/>
          <w:sz w:val="28"/>
          <w:szCs w:val="28"/>
        </w:rPr>
        <w:t>校</w:t>
      </w:r>
      <w:r>
        <w:rPr>
          <w:rFonts w:hint="eastAsia" w:asciiTheme="minorEastAsia" w:hAnsiTheme="minorEastAsia" w:eastAsiaTheme="minorEastAsia"/>
          <w:sz w:val="28"/>
          <w:szCs w:val="28"/>
        </w:rPr>
        <w:t>研究生〔2017〕14号）的精神，学校组织开展优秀博士、硕士学位论文评选工作。经个人申报、学院推荐、专家评审、学校学位评定委员会会议审议和无记名投票表决等程序，拟确定郑哲的《基于多组学分析的马氏珠母贝矿化相关基因研究》1篇博士学位论文入选校级优秀博士学位论文，刘迪的《不同储存方法对鱼油氧化的影响及其养殖效果评价》等10篇硕士学位论文入选校级优秀硕士学位论文（见附件），现予以公示，</w:t>
      </w:r>
      <w:r>
        <w:rPr>
          <w:rFonts w:asciiTheme="minorEastAsia" w:hAnsiTheme="minorEastAsia" w:eastAsiaTheme="minorEastAsia"/>
          <w:sz w:val="28"/>
          <w:szCs w:val="28"/>
        </w:rPr>
        <w:t>公示</w:t>
      </w:r>
      <w:r>
        <w:rPr>
          <w:rFonts w:hint="eastAsia" w:asciiTheme="minorEastAsia" w:hAnsiTheme="minorEastAsia" w:eastAsiaTheme="minorEastAsia"/>
          <w:sz w:val="28"/>
          <w:szCs w:val="28"/>
        </w:rPr>
        <w:t>日期</w:t>
      </w:r>
      <w:r>
        <w:rPr>
          <w:rFonts w:asciiTheme="minorEastAsia" w:hAnsiTheme="minorEastAsia" w:eastAsiaTheme="minorEastAsia"/>
          <w:sz w:val="28"/>
          <w:szCs w:val="28"/>
        </w:rPr>
        <w:t>从</w:t>
      </w:r>
      <w:r>
        <w:rPr>
          <w:rFonts w:hint="eastAsia" w:asciiTheme="minorEastAsia" w:hAnsiTheme="minorEastAsia" w:eastAsiaTheme="minorEastAsia"/>
          <w:sz w:val="28"/>
          <w:szCs w:val="28"/>
        </w:rPr>
        <w:t>6</w:t>
      </w:r>
      <w:r>
        <w:rPr>
          <w:rFonts w:asciiTheme="minorEastAsia" w:hAnsiTheme="minorEastAsia" w:eastAsiaTheme="minorEastAsia"/>
          <w:sz w:val="28"/>
          <w:szCs w:val="28"/>
        </w:rPr>
        <w:t>月</w:t>
      </w:r>
      <w:r>
        <w:rPr>
          <w:rFonts w:hint="eastAsia" w:asciiTheme="minorEastAsia" w:hAnsiTheme="minorEastAsia" w:eastAsiaTheme="minorEastAsia"/>
          <w:sz w:val="28"/>
          <w:szCs w:val="28"/>
        </w:rPr>
        <w:t>19</w:t>
      </w:r>
      <w:r>
        <w:rPr>
          <w:rFonts w:asciiTheme="minorEastAsia" w:hAnsiTheme="minorEastAsia" w:eastAsiaTheme="minorEastAsia"/>
          <w:sz w:val="28"/>
          <w:szCs w:val="28"/>
        </w:rPr>
        <w:t>日至</w:t>
      </w:r>
      <w:r>
        <w:rPr>
          <w:rFonts w:hint="eastAsia" w:asciiTheme="minorEastAsia" w:hAnsiTheme="minorEastAsia" w:eastAsiaTheme="minorEastAsia"/>
          <w:sz w:val="28"/>
          <w:szCs w:val="28"/>
        </w:rPr>
        <w:t>6</w:t>
      </w:r>
      <w:r>
        <w:rPr>
          <w:rFonts w:asciiTheme="minorEastAsia" w:hAnsiTheme="minorEastAsia" w:eastAsiaTheme="minorEastAsia"/>
          <w:sz w:val="28"/>
          <w:szCs w:val="28"/>
        </w:rPr>
        <w:t>月</w:t>
      </w:r>
      <w:r>
        <w:rPr>
          <w:rFonts w:hint="eastAsia" w:asciiTheme="minorEastAsia" w:hAnsiTheme="minorEastAsia" w:eastAsiaTheme="minorEastAsia"/>
          <w:sz w:val="28"/>
          <w:szCs w:val="28"/>
        </w:rPr>
        <w:t>25</w:t>
      </w:r>
      <w:r>
        <w:rPr>
          <w:rFonts w:asciiTheme="minorEastAsia" w:hAnsiTheme="minorEastAsia" w:eastAsiaTheme="minorEastAsia"/>
          <w:sz w:val="28"/>
          <w:szCs w:val="28"/>
        </w:rPr>
        <w:t>日。</w:t>
      </w:r>
    </w:p>
    <w:p>
      <w:pPr>
        <w:pStyle w:val="5"/>
        <w:keepNext w:val="0"/>
        <w:keepLines w:val="0"/>
        <w:pageBreakBefore w:val="0"/>
        <w:widowControl/>
        <w:kinsoku/>
        <w:wordWrap/>
        <w:overflowPunct/>
        <w:topLinePunct w:val="0"/>
        <w:autoSpaceDE/>
        <w:autoSpaceDN/>
        <w:bidi w:val="0"/>
        <w:adjustRightInd/>
        <w:snapToGrid/>
        <w:spacing w:before="240" w:beforeAutospacing="0" w:after="0" w:afterAutospacing="0" w:line="240" w:lineRule="auto"/>
        <w:ind w:firstLine="560" w:firstLineChars="200"/>
        <w:jc w:val="both"/>
        <w:textAlignment w:val="auto"/>
        <w:outlineLvl w:val="9"/>
        <w:rPr>
          <w:rFonts w:asciiTheme="minorEastAsia" w:hAnsiTheme="minorEastAsia" w:eastAsiaTheme="minorEastAsia"/>
          <w:sz w:val="28"/>
          <w:szCs w:val="28"/>
        </w:rPr>
      </w:pPr>
      <w:r>
        <w:rPr>
          <w:rFonts w:asciiTheme="minorEastAsia" w:hAnsiTheme="minorEastAsia" w:eastAsiaTheme="minorEastAsia"/>
          <w:sz w:val="28"/>
          <w:szCs w:val="28"/>
        </w:rPr>
        <w:t>公示期内，任何单位或个人如发现入选论文存在剽窃、作假或论文的主要结论不能成立等严重问题</w:t>
      </w:r>
      <w:r>
        <w:rPr>
          <w:rFonts w:hint="eastAsia" w:asciiTheme="minorEastAsia" w:hAnsiTheme="minorEastAsia" w:eastAsiaTheme="minorEastAsia"/>
          <w:sz w:val="28"/>
          <w:szCs w:val="28"/>
        </w:rPr>
        <w:t>（</w:t>
      </w:r>
      <w:r>
        <w:rPr>
          <w:rFonts w:asciiTheme="minorEastAsia" w:hAnsiTheme="minorEastAsia" w:eastAsiaTheme="minorEastAsia"/>
          <w:sz w:val="28"/>
          <w:szCs w:val="28"/>
        </w:rPr>
        <w:t>可</w:t>
      </w:r>
      <w:r>
        <w:rPr>
          <w:rFonts w:hint="eastAsia" w:asciiTheme="minorEastAsia" w:hAnsiTheme="minorEastAsia" w:eastAsiaTheme="minorEastAsia"/>
          <w:sz w:val="28"/>
          <w:szCs w:val="28"/>
        </w:rPr>
        <w:t>在</w:t>
      </w:r>
      <w:r>
        <w:rPr>
          <w:rFonts w:asciiTheme="minorEastAsia" w:hAnsiTheme="minorEastAsia" w:eastAsiaTheme="minorEastAsia"/>
          <w:sz w:val="28"/>
          <w:szCs w:val="28"/>
        </w:rPr>
        <w:t>中国博</w:t>
      </w:r>
      <w:r>
        <w:rPr>
          <w:rFonts w:hint="eastAsia" w:asciiTheme="minorEastAsia" w:hAnsiTheme="minorEastAsia" w:eastAsiaTheme="minorEastAsia"/>
          <w:sz w:val="28"/>
          <w:szCs w:val="28"/>
        </w:rPr>
        <w:t>硕</w:t>
      </w:r>
      <w:r>
        <w:rPr>
          <w:rFonts w:asciiTheme="minorEastAsia" w:hAnsiTheme="minorEastAsia" w:eastAsiaTheme="minorEastAsia"/>
          <w:sz w:val="28"/>
          <w:szCs w:val="28"/>
        </w:rPr>
        <w:t>士学位论文全文数据库查阅论文</w:t>
      </w:r>
      <w:r>
        <w:rPr>
          <w:rFonts w:hint="eastAsia" w:asciiTheme="minorEastAsia" w:hAnsiTheme="minorEastAsia" w:eastAsiaTheme="minorEastAsia"/>
          <w:sz w:val="28"/>
          <w:szCs w:val="28"/>
        </w:rPr>
        <w:t>）</w:t>
      </w:r>
      <w:r>
        <w:rPr>
          <w:rFonts w:asciiTheme="minorEastAsia" w:hAnsiTheme="minorEastAsia" w:eastAsiaTheme="minorEastAsia"/>
          <w:sz w:val="28"/>
          <w:szCs w:val="28"/>
        </w:rPr>
        <w:t>，</w:t>
      </w:r>
      <w:r>
        <w:rPr>
          <w:rFonts w:hint="eastAsia" w:asciiTheme="minorEastAsia" w:hAnsiTheme="minorEastAsia" w:eastAsiaTheme="minorEastAsia"/>
          <w:sz w:val="28"/>
          <w:szCs w:val="28"/>
        </w:rPr>
        <w:t>请</w:t>
      </w:r>
      <w:r>
        <w:rPr>
          <w:rFonts w:asciiTheme="minorEastAsia" w:hAnsiTheme="minorEastAsia" w:eastAsiaTheme="minorEastAsia"/>
          <w:sz w:val="28"/>
          <w:szCs w:val="28"/>
        </w:rPr>
        <w:t>以书面方式向</w:t>
      </w:r>
      <w:r>
        <w:rPr>
          <w:rFonts w:hint="eastAsia" w:asciiTheme="minorEastAsia" w:hAnsiTheme="minorEastAsia" w:eastAsiaTheme="minorEastAsia"/>
          <w:sz w:val="28"/>
          <w:szCs w:val="28"/>
        </w:rPr>
        <w:t>研究生处（联系电话：2383137，联系人：韩老师）</w:t>
      </w:r>
      <w:r>
        <w:rPr>
          <w:rFonts w:asciiTheme="minorEastAsia" w:hAnsiTheme="minorEastAsia" w:eastAsiaTheme="minorEastAsia"/>
          <w:sz w:val="28"/>
          <w:szCs w:val="28"/>
        </w:rPr>
        <w:t>提出异议。提出异议者须署真实姓名、</w:t>
      </w:r>
      <w:r>
        <w:rPr>
          <w:rFonts w:hint="eastAsia" w:asciiTheme="minorEastAsia" w:hAnsiTheme="minorEastAsia" w:eastAsiaTheme="minorEastAsia"/>
          <w:sz w:val="28"/>
          <w:szCs w:val="28"/>
        </w:rPr>
        <w:t>联系方式</w:t>
      </w:r>
      <w:r>
        <w:rPr>
          <w:rFonts w:asciiTheme="minorEastAsia" w:hAnsiTheme="minorEastAsia" w:eastAsiaTheme="minorEastAsia"/>
          <w:sz w:val="28"/>
          <w:szCs w:val="28"/>
        </w:rPr>
        <w:t>，</w:t>
      </w:r>
      <w:r>
        <w:rPr>
          <w:rFonts w:hint="eastAsia" w:asciiTheme="minorEastAsia" w:hAnsiTheme="minorEastAsia" w:eastAsiaTheme="minorEastAsia"/>
          <w:sz w:val="28"/>
          <w:szCs w:val="28"/>
        </w:rPr>
        <w:t>否则</w:t>
      </w:r>
      <w:r>
        <w:rPr>
          <w:rFonts w:asciiTheme="minorEastAsia" w:hAnsiTheme="minorEastAsia" w:eastAsiaTheme="minorEastAsia"/>
          <w:sz w:val="28"/>
          <w:szCs w:val="28"/>
        </w:rPr>
        <w:t>不予受理。</w:t>
      </w:r>
      <w:r>
        <w:rPr>
          <w:rFonts w:hint="eastAsia" w:asciiTheme="minorEastAsia" w:hAnsiTheme="minorEastAsia" w:eastAsiaTheme="minorEastAsia"/>
          <w:sz w:val="28"/>
          <w:szCs w:val="28"/>
        </w:rPr>
        <w:t>公示期内无异议或有异议经核实后无问题，学校发文公布。</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附件： 2018年校级优秀博士、硕士学位论文拟入选名单</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560" w:firstLineChars="200"/>
        <w:jc w:val="right"/>
        <w:textAlignment w:val="auto"/>
        <w:outlineLvl w:val="9"/>
        <w:rPr>
          <w:sz w:val="28"/>
          <w:szCs w:val="28"/>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560" w:firstLineChars="200"/>
        <w:jc w:val="right"/>
        <w:textAlignment w:val="auto"/>
        <w:outlineLvl w:val="9"/>
        <w:rPr>
          <w:sz w:val="28"/>
          <w:szCs w:val="28"/>
        </w:rPr>
      </w:pPr>
      <w:r>
        <w:rPr>
          <w:rFonts w:hint="eastAsia"/>
          <w:sz w:val="28"/>
          <w:szCs w:val="28"/>
        </w:rPr>
        <w:t>研   究   生   处</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560" w:firstLineChars="200"/>
        <w:jc w:val="right"/>
        <w:textAlignment w:val="auto"/>
        <w:outlineLvl w:val="9"/>
        <w:rPr>
          <w:sz w:val="28"/>
          <w:szCs w:val="28"/>
        </w:rPr>
        <w:sectPr>
          <w:pgSz w:w="11906" w:h="16838"/>
          <w:pgMar w:top="1440" w:right="1701" w:bottom="1440" w:left="1701" w:header="709" w:footer="709" w:gutter="0"/>
          <w:cols w:space="708" w:num="1"/>
          <w:docGrid w:type="lines" w:linePitch="360" w:charSpace="0"/>
        </w:sectPr>
      </w:pPr>
      <w:r>
        <w:rPr>
          <w:rFonts w:hint="eastAsia"/>
          <w:sz w:val="28"/>
          <w:szCs w:val="28"/>
        </w:rPr>
        <w:t>2018年6月19日</w:t>
      </w:r>
      <w:bookmarkEnd w:id="0"/>
      <w:r>
        <w:rPr>
          <w:sz w:val="28"/>
          <w:szCs w:val="28"/>
        </w:rPr>
        <w:br w:type="page"/>
      </w:r>
    </w:p>
    <w:tbl>
      <w:tblPr>
        <w:tblStyle w:val="8"/>
        <w:tblW w:w="16408" w:type="dxa"/>
        <w:tblInd w:w="93" w:type="dxa"/>
        <w:tblLayout w:type="fixed"/>
        <w:tblCellMar>
          <w:top w:w="0" w:type="dxa"/>
          <w:left w:w="108" w:type="dxa"/>
          <w:bottom w:w="0" w:type="dxa"/>
          <w:right w:w="108" w:type="dxa"/>
        </w:tblCellMar>
      </w:tblPr>
      <w:tblGrid>
        <w:gridCol w:w="520"/>
        <w:gridCol w:w="280"/>
        <w:gridCol w:w="491"/>
        <w:gridCol w:w="992"/>
        <w:gridCol w:w="1560"/>
        <w:gridCol w:w="2677"/>
        <w:gridCol w:w="2000"/>
        <w:gridCol w:w="851"/>
        <w:gridCol w:w="1559"/>
        <w:gridCol w:w="1134"/>
        <w:gridCol w:w="1134"/>
        <w:gridCol w:w="851"/>
        <w:gridCol w:w="1417"/>
        <w:gridCol w:w="942"/>
      </w:tblGrid>
      <w:tr>
        <w:tblPrEx>
          <w:tblLayout w:type="fixed"/>
          <w:tblCellMar>
            <w:top w:w="0" w:type="dxa"/>
            <w:left w:w="108" w:type="dxa"/>
            <w:bottom w:w="0" w:type="dxa"/>
            <w:right w:w="108" w:type="dxa"/>
          </w:tblCellMar>
        </w:tblPrEx>
        <w:trPr>
          <w:trHeight w:val="660" w:hRule="atLeast"/>
        </w:trPr>
        <w:tc>
          <w:tcPr>
            <w:tcW w:w="800" w:type="dxa"/>
            <w:gridSpan w:val="2"/>
            <w:tcBorders>
              <w:top w:val="nil"/>
              <w:left w:val="nil"/>
              <w:bottom w:val="nil"/>
              <w:right w:val="nil"/>
            </w:tcBorders>
          </w:tcPr>
          <w:p>
            <w:pPr>
              <w:adjustRightInd/>
              <w:snapToGrid/>
              <w:spacing w:after="0"/>
              <w:jc w:val="center"/>
              <w:rPr>
                <w:rFonts w:ascii="宋体" w:hAnsi="宋体" w:eastAsia="宋体" w:cs="宋体"/>
                <w:b/>
                <w:bCs/>
                <w:sz w:val="44"/>
                <w:szCs w:val="44"/>
              </w:rPr>
            </w:pPr>
          </w:p>
        </w:tc>
        <w:tc>
          <w:tcPr>
            <w:tcW w:w="15608" w:type="dxa"/>
            <w:gridSpan w:val="12"/>
            <w:tcBorders>
              <w:top w:val="nil"/>
              <w:left w:val="nil"/>
              <w:bottom w:val="nil"/>
              <w:right w:val="nil"/>
            </w:tcBorders>
            <w:shd w:val="clear" w:color="auto" w:fill="auto"/>
            <w:vAlign w:val="center"/>
          </w:tcPr>
          <w:p>
            <w:pPr>
              <w:adjustRightInd/>
              <w:snapToGrid/>
              <w:spacing w:after="0"/>
              <w:jc w:val="center"/>
              <w:rPr>
                <w:rFonts w:ascii="宋体" w:hAnsi="宋体" w:eastAsia="宋体" w:cs="宋体"/>
                <w:b/>
                <w:bCs/>
                <w:sz w:val="44"/>
                <w:szCs w:val="44"/>
              </w:rPr>
            </w:pPr>
            <w:r>
              <w:rPr>
                <w:rFonts w:hint="eastAsia" w:ascii="宋体" w:hAnsi="宋体" w:eastAsia="宋体" w:cs="宋体"/>
                <w:b/>
                <w:bCs/>
                <w:sz w:val="44"/>
                <w:szCs w:val="44"/>
              </w:rPr>
              <w:t>2018年校级优秀博士、硕士学位论文拟入选名单</w:t>
            </w:r>
          </w:p>
        </w:tc>
      </w:tr>
      <w:tr>
        <w:tblPrEx>
          <w:tblLayout w:type="fixed"/>
          <w:tblCellMar>
            <w:top w:w="0" w:type="dxa"/>
            <w:left w:w="108" w:type="dxa"/>
            <w:bottom w:w="0" w:type="dxa"/>
            <w:right w:w="108" w:type="dxa"/>
          </w:tblCellMar>
        </w:tblPrEx>
        <w:trPr>
          <w:gridAfter w:val="1"/>
          <w:wAfter w:w="942" w:type="dxa"/>
          <w:trHeight w:val="735" w:hRule="atLeast"/>
        </w:trPr>
        <w:tc>
          <w:tcPr>
            <w:tcW w:w="5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_GB2312" w:hAnsi="宋体" w:eastAsia="仿宋_GB2312" w:cs="宋体"/>
                <w:b/>
                <w:bCs/>
                <w:sz w:val="20"/>
                <w:szCs w:val="20"/>
              </w:rPr>
            </w:pPr>
            <w:r>
              <w:rPr>
                <w:rFonts w:hint="eastAsia" w:ascii="仿宋_GB2312" w:hAnsi="宋体" w:eastAsia="仿宋_GB2312" w:cs="宋体"/>
                <w:b/>
                <w:bCs/>
                <w:sz w:val="20"/>
                <w:szCs w:val="20"/>
              </w:rPr>
              <w:t>序号</w:t>
            </w:r>
          </w:p>
        </w:tc>
        <w:tc>
          <w:tcPr>
            <w:tcW w:w="77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_GB2312" w:hAnsi="宋体" w:eastAsia="仿宋_GB2312" w:cs="宋体"/>
                <w:b/>
                <w:bCs/>
                <w:sz w:val="20"/>
                <w:szCs w:val="20"/>
              </w:rPr>
            </w:pPr>
            <w:r>
              <w:rPr>
                <w:rFonts w:hint="eastAsia" w:ascii="仿宋_GB2312" w:hAnsi="宋体" w:eastAsia="仿宋_GB2312" w:cs="宋体"/>
                <w:b/>
                <w:bCs/>
                <w:sz w:val="20"/>
                <w:szCs w:val="20"/>
              </w:rPr>
              <w:t>作者姓名</w:t>
            </w:r>
          </w:p>
        </w:tc>
        <w:tc>
          <w:tcPr>
            <w:tcW w:w="99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adjustRightInd/>
              <w:snapToGrid/>
              <w:spacing w:after="0"/>
              <w:jc w:val="center"/>
              <w:rPr>
                <w:rFonts w:ascii="仿宋_GB2312" w:hAnsi="宋体" w:eastAsia="仿宋_GB2312" w:cs="宋体"/>
                <w:b/>
                <w:bCs/>
                <w:sz w:val="20"/>
                <w:szCs w:val="20"/>
              </w:rPr>
            </w:pPr>
            <w:r>
              <w:rPr>
                <w:rFonts w:hint="eastAsia" w:ascii="仿宋_GB2312" w:hAnsi="宋体" w:eastAsia="仿宋_GB2312" w:cs="宋体"/>
                <w:b/>
                <w:bCs/>
                <w:sz w:val="20"/>
                <w:szCs w:val="20"/>
              </w:rPr>
              <w:t>授予学位日期</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_GB2312" w:hAnsi="宋体" w:eastAsia="仿宋_GB2312" w:cs="宋体"/>
                <w:b/>
                <w:bCs/>
                <w:sz w:val="20"/>
                <w:szCs w:val="20"/>
              </w:rPr>
            </w:pPr>
            <w:r>
              <w:rPr>
                <w:rFonts w:hint="eastAsia" w:ascii="仿宋_GB2312" w:hAnsi="宋体" w:eastAsia="仿宋_GB2312" w:cs="宋体"/>
                <w:b/>
                <w:bCs/>
                <w:sz w:val="20"/>
                <w:szCs w:val="20"/>
              </w:rPr>
              <w:t>专业</w:t>
            </w:r>
          </w:p>
        </w:tc>
        <w:tc>
          <w:tcPr>
            <w:tcW w:w="26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_GB2312" w:hAnsi="宋体" w:eastAsia="仿宋_GB2312" w:cs="宋体"/>
                <w:b/>
                <w:bCs/>
                <w:sz w:val="20"/>
                <w:szCs w:val="20"/>
              </w:rPr>
            </w:pPr>
            <w:r>
              <w:rPr>
                <w:rFonts w:hint="eastAsia" w:ascii="仿宋_GB2312" w:hAnsi="宋体" w:eastAsia="仿宋_GB2312" w:cs="宋体"/>
                <w:b/>
                <w:bCs/>
                <w:sz w:val="20"/>
                <w:szCs w:val="20"/>
              </w:rPr>
              <w:t>论 文 题 目</w:t>
            </w:r>
          </w:p>
        </w:tc>
        <w:tc>
          <w:tcPr>
            <w:tcW w:w="4410" w:type="dxa"/>
            <w:gridSpan w:val="3"/>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_GB2312" w:hAnsi="宋体" w:eastAsia="仿宋_GB2312" w:cs="宋体"/>
                <w:b/>
                <w:bCs/>
                <w:sz w:val="20"/>
                <w:szCs w:val="20"/>
              </w:rPr>
            </w:pPr>
            <w:r>
              <w:rPr>
                <w:rFonts w:hint="eastAsia" w:ascii="仿宋_GB2312" w:hAnsi="宋体" w:eastAsia="仿宋_GB2312" w:cs="宋体"/>
                <w:b/>
                <w:bCs/>
                <w:sz w:val="20"/>
                <w:szCs w:val="20"/>
              </w:rPr>
              <w:t>第一作者发表论文篇数</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_GB2312" w:hAnsi="宋体" w:eastAsia="仿宋_GB2312" w:cs="宋体"/>
                <w:b/>
                <w:bCs/>
                <w:sz w:val="20"/>
                <w:szCs w:val="20"/>
              </w:rPr>
            </w:pPr>
            <w:r>
              <w:rPr>
                <w:rFonts w:hint="eastAsia" w:ascii="仿宋_GB2312" w:hAnsi="宋体" w:eastAsia="仿宋_GB2312" w:cs="宋体"/>
                <w:b/>
                <w:bCs/>
                <w:sz w:val="20"/>
                <w:szCs w:val="20"/>
              </w:rPr>
              <w:t>导师为第一作者，学生为第二作者发表论文篇数</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_GB2312" w:hAnsi="宋体" w:eastAsia="仿宋_GB2312" w:cs="宋体"/>
                <w:b/>
                <w:bCs/>
                <w:sz w:val="20"/>
                <w:szCs w:val="20"/>
              </w:rPr>
            </w:pPr>
            <w:r>
              <w:rPr>
                <w:rFonts w:hint="eastAsia" w:ascii="仿宋_GB2312" w:hAnsi="宋体" w:eastAsia="仿宋_GB2312" w:cs="宋体"/>
                <w:b/>
                <w:bCs/>
                <w:sz w:val="20"/>
                <w:szCs w:val="20"/>
              </w:rPr>
              <w:t>导师姓名（填1人）</w:t>
            </w:r>
          </w:p>
        </w:tc>
        <w:tc>
          <w:tcPr>
            <w:tcW w:w="1417" w:type="dxa"/>
            <w:vMerge w:val="restart"/>
            <w:tcBorders>
              <w:top w:val="single" w:color="auto" w:sz="4" w:space="0"/>
              <w:left w:val="single" w:color="auto" w:sz="4" w:space="0"/>
              <w:right w:val="single" w:color="auto" w:sz="4" w:space="0"/>
            </w:tcBorders>
            <w:vAlign w:val="center"/>
          </w:tcPr>
          <w:p>
            <w:pPr>
              <w:adjustRightInd/>
              <w:snapToGrid/>
              <w:spacing w:after="0"/>
              <w:jc w:val="center"/>
              <w:rPr>
                <w:rFonts w:ascii="仿宋_GB2312" w:hAnsi="宋体" w:eastAsia="仿宋_GB2312" w:cs="宋体"/>
                <w:b/>
                <w:bCs/>
                <w:sz w:val="20"/>
                <w:szCs w:val="20"/>
              </w:rPr>
            </w:pPr>
            <w:r>
              <w:rPr>
                <w:rFonts w:hint="eastAsia" w:ascii="仿宋_GB2312" w:hAnsi="宋体" w:eastAsia="仿宋_GB2312" w:cs="宋体"/>
                <w:b/>
                <w:bCs/>
                <w:sz w:val="20"/>
                <w:szCs w:val="20"/>
              </w:rPr>
              <w:t>备注</w:t>
            </w:r>
          </w:p>
        </w:tc>
      </w:tr>
      <w:tr>
        <w:tblPrEx>
          <w:tblLayout w:type="fixed"/>
          <w:tblCellMar>
            <w:top w:w="0" w:type="dxa"/>
            <w:left w:w="108" w:type="dxa"/>
            <w:bottom w:w="0" w:type="dxa"/>
            <w:right w:w="108" w:type="dxa"/>
          </w:tblCellMar>
        </w:tblPrEx>
        <w:trPr>
          <w:gridAfter w:val="1"/>
          <w:wAfter w:w="942" w:type="dxa"/>
          <w:trHeight w:val="960" w:hRule="atLeast"/>
        </w:trPr>
        <w:tc>
          <w:tcPr>
            <w:tcW w:w="520"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仿宋_GB2312" w:hAnsi="宋体" w:eastAsia="仿宋_GB2312" w:cs="宋体"/>
                <w:b/>
                <w:bCs/>
                <w:sz w:val="20"/>
                <w:szCs w:val="20"/>
              </w:rPr>
            </w:pPr>
          </w:p>
        </w:tc>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仿宋_GB2312" w:hAnsi="宋体" w:eastAsia="仿宋_GB2312" w:cs="宋体"/>
                <w:b/>
                <w:bCs/>
                <w:sz w:val="20"/>
                <w:szCs w:val="20"/>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adjustRightInd/>
              <w:snapToGrid/>
              <w:spacing w:after="0"/>
              <w:rPr>
                <w:rFonts w:ascii="仿宋_GB2312" w:hAnsi="宋体" w:eastAsia="仿宋_GB2312" w:cs="宋体"/>
                <w:b/>
                <w:bCs/>
                <w:sz w:val="20"/>
                <w:szCs w:val="20"/>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仿宋_GB2312" w:hAnsi="宋体" w:eastAsia="仿宋_GB2312" w:cs="宋体"/>
                <w:b/>
                <w:bCs/>
                <w:sz w:val="20"/>
                <w:szCs w:val="20"/>
              </w:rPr>
            </w:pPr>
          </w:p>
        </w:tc>
        <w:tc>
          <w:tcPr>
            <w:tcW w:w="2677"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仿宋_GB2312" w:hAnsi="宋体" w:eastAsia="仿宋_GB2312" w:cs="宋体"/>
                <w:b/>
                <w:bCs/>
                <w:sz w:val="20"/>
                <w:szCs w:val="20"/>
              </w:rPr>
            </w:pP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SCI（所属区及影响因子）</w:t>
            </w: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EI</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CSCD核心(CSSCI)</w:t>
            </w: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SCI（所属区及影响因子）</w:t>
            </w: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b/>
                <w:bCs/>
                <w:sz w:val="20"/>
                <w:szCs w:val="20"/>
              </w:rPr>
            </w:pPr>
            <w:r>
              <w:rPr>
                <w:rFonts w:hint="eastAsia" w:ascii="宋体" w:hAnsi="宋体" w:eastAsia="宋体" w:cs="宋体"/>
                <w:b/>
                <w:bCs/>
                <w:sz w:val="20"/>
                <w:szCs w:val="20"/>
              </w:rPr>
              <w:t>CSCD(CSSCI)</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adjustRightInd/>
              <w:snapToGrid/>
              <w:spacing w:after="0"/>
              <w:rPr>
                <w:rFonts w:ascii="仿宋_GB2312" w:hAnsi="宋体" w:eastAsia="仿宋_GB2312" w:cs="宋体"/>
                <w:b/>
                <w:bCs/>
                <w:sz w:val="20"/>
                <w:szCs w:val="20"/>
              </w:rPr>
            </w:pPr>
          </w:p>
        </w:tc>
        <w:tc>
          <w:tcPr>
            <w:tcW w:w="1417" w:type="dxa"/>
            <w:vMerge w:val="continue"/>
            <w:tcBorders>
              <w:left w:val="single" w:color="auto" w:sz="4" w:space="0"/>
              <w:bottom w:val="single" w:color="auto" w:sz="4" w:space="0"/>
              <w:right w:val="single" w:color="auto" w:sz="4" w:space="0"/>
            </w:tcBorders>
          </w:tcPr>
          <w:p>
            <w:pPr>
              <w:adjustRightInd/>
              <w:snapToGrid/>
              <w:spacing w:after="0"/>
              <w:rPr>
                <w:rFonts w:ascii="仿宋_GB2312" w:hAnsi="宋体" w:eastAsia="仿宋_GB2312" w:cs="宋体"/>
                <w:b/>
                <w:bCs/>
                <w:sz w:val="20"/>
                <w:szCs w:val="20"/>
              </w:rPr>
            </w:pPr>
          </w:p>
        </w:tc>
      </w:tr>
      <w:tr>
        <w:tblPrEx>
          <w:tblLayout w:type="fixed"/>
          <w:tblCellMar>
            <w:top w:w="0" w:type="dxa"/>
            <w:left w:w="108" w:type="dxa"/>
            <w:bottom w:w="0" w:type="dxa"/>
            <w:right w:w="108" w:type="dxa"/>
          </w:tblCellMar>
        </w:tblPrEx>
        <w:trPr>
          <w:gridAfter w:val="1"/>
          <w:wAfter w:w="942" w:type="dxa"/>
          <w:trHeight w:val="1054"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1</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郑哲</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20170615</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水产养殖</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基于多组学分析的马氏珠母贝矿化相关基因研究</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一区1篇IF：3.148，三区4篇（IF：6.871,2.806,2.564,2.415）</w:t>
            </w: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_GB2312" w:hAnsi="宋体" w:eastAsia="仿宋_GB2312" w:cs="宋体"/>
                <w:sz w:val="24"/>
                <w:szCs w:val="24"/>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_GB2312" w:hAnsi="宋体" w:eastAsia="仿宋_GB2312" w:cs="宋体"/>
                <w:sz w:val="24"/>
                <w:szCs w:val="24"/>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_GB2312" w:hAnsi="宋体" w:eastAsia="仿宋_GB2312" w:cs="宋体"/>
                <w:sz w:val="24"/>
                <w:szCs w:val="24"/>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杜晓东</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博士学位论文</w:t>
            </w:r>
          </w:p>
        </w:tc>
      </w:tr>
      <w:tr>
        <w:tblPrEx>
          <w:tblLayout w:type="fixed"/>
          <w:tblCellMar>
            <w:top w:w="0" w:type="dxa"/>
            <w:left w:w="108" w:type="dxa"/>
            <w:bottom w:w="0" w:type="dxa"/>
            <w:right w:w="108" w:type="dxa"/>
          </w:tblCellMar>
        </w:tblPrEx>
        <w:trPr>
          <w:gridAfter w:val="1"/>
          <w:wAfter w:w="942" w:type="dxa"/>
          <w:trHeight w:val="630"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刘迪</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20170615</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水产养殖</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不同储存方法对鱼油氧化的影响及其养殖效果评价</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CSCD核心2篇</w:t>
            </w: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谭北平</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硕士学位论文</w:t>
            </w:r>
          </w:p>
        </w:tc>
      </w:tr>
      <w:tr>
        <w:tblPrEx>
          <w:tblLayout w:type="fixed"/>
          <w:tblCellMar>
            <w:top w:w="0" w:type="dxa"/>
            <w:left w:w="108" w:type="dxa"/>
            <w:bottom w:w="0" w:type="dxa"/>
            <w:right w:w="108" w:type="dxa"/>
          </w:tblCellMar>
        </w:tblPrEx>
        <w:trPr>
          <w:gridAfter w:val="1"/>
          <w:wAfter w:w="942" w:type="dxa"/>
          <w:trHeight w:val="660"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3</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罗少杰</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20170615</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海洋生物学</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马氏珠母贝外套膜不同区域的DNA甲基化差异及功能研究</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CSCD核心4篇</w:t>
            </w: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邓岳文</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硕士学位论文</w:t>
            </w:r>
          </w:p>
        </w:tc>
      </w:tr>
      <w:tr>
        <w:tblPrEx>
          <w:tblLayout w:type="fixed"/>
          <w:tblCellMar>
            <w:top w:w="0" w:type="dxa"/>
            <w:left w:w="108" w:type="dxa"/>
            <w:bottom w:w="0" w:type="dxa"/>
            <w:right w:w="108" w:type="dxa"/>
          </w:tblCellMar>
        </w:tblPrEx>
        <w:trPr>
          <w:gridAfter w:val="1"/>
          <w:wAfter w:w="942" w:type="dxa"/>
          <w:trHeight w:val="720"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4</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崔雪凡</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20170615</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海洋生物学</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金钱鱼促性腺激素释放激素的克隆及其在生殖调控中的功能研究</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三区1篇IF：2.86</w:t>
            </w: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李广丽</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硕士学位论文</w:t>
            </w:r>
          </w:p>
        </w:tc>
      </w:tr>
      <w:tr>
        <w:tblPrEx>
          <w:tblLayout w:type="fixed"/>
          <w:tblCellMar>
            <w:top w:w="0" w:type="dxa"/>
            <w:left w:w="108" w:type="dxa"/>
            <w:bottom w:w="0" w:type="dxa"/>
            <w:right w:w="108" w:type="dxa"/>
          </w:tblCellMar>
        </w:tblPrEx>
        <w:trPr>
          <w:gridAfter w:val="1"/>
          <w:wAfter w:w="942" w:type="dxa"/>
          <w:trHeight w:val="510"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5</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廖健</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20170615</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海洋生物学</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雷州半岛红树林仔稚幼鱼多样性及弓背青鳉对壬基酚的响应</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四区1篇IF：1.76</w:t>
            </w: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CSCD核心2篇</w:t>
            </w: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王中铎</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硕士学位论文</w:t>
            </w:r>
          </w:p>
        </w:tc>
      </w:tr>
      <w:tr>
        <w:tblPrEx>
          <w:tblLayout w:type="fixed"/>
          <w:tblCellMar>
            <w:top w:w="0" w:type="dxa"/>
            <w:left w:w="108" w:type="dxa"/>
            <w:bottom w:w="0" w:type="dxa"/>
            <w:right w:w="108" w:type="dxa"/>
          </w:tblCellMar>
        </w:tblPrEx>
        <w:trPr>
          <w:gridAfter w:val="1"/>
          <w:wAfter w:w="942" w:type="dxa"/>
          <w:trHeight w:val="510"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6</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周浪花</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20180119</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食品加工与安全</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三种抗氧化剂和嗜酸乳杆菌对罗非鱼中常见真菌毒素危害的修复效应</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三区1篇IF=1.6</w:t>
            </w: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王雅玲</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硕士学位论文</w:t>
            </w:r>
          </w:p>
        </w:tc>
      </w:tr>
      <w:tr>
        <w:tblPrEx>
          <w:tblLayout w:type="fixed"/>
          <w:tblCellMar>
            <w:top w:w="0" w:type="dxa"/>
            <w:left w:w="108" w:type="dxa"/>
            <w:bottom w:w="0" w:type="dxa"/>
            <w:right w:w="108" w:type="dxa"/>
          </w:tblCellMar>
        </w:tblPrEx>
        <w:trPr>
          <w:gridAfter w:val="1"/>
          <w:wAfter w:w="942" w:type="dxa"/>
          <w:trHeight w:val="510"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7</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王小博</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20170615</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食品科学与工程</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水产品中常见真菌毒素的污染调查及对虾中残留的风险评估</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1篇</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CSCD核心1篇</w:t>
            </w: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王雅玲</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硕士学位论文</w:t>
            </w:r>
          </w:p>
        </w:tc>
      </w:tr>
      <w:tr>
        <w:tblPrEx>
          <w:tblLayout w:type="fixed"/>
          <w:tblCellMar>
            <w:top w:w="0" w:type="dxa"/>
            <w:left w:w="108" w:type="dxa"/>
            <w:bottom w:w="0" w:type="dxa"/>
            <w:right w:w="108" w:type="dxa"/>
          </w:tblCellMar>
        </w:tblPrEx>
        <w:trPr>
          <w:gridAfter w:val="1"/>
          <w:wAfter w:w="942" w:type="dxa"/>
          <w:trHeight w:val="540"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8</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王志敬</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20170615</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养殖</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放牧雷州山羊营养水平检测及不同精粗比日粮对雷州山羊舍饲效果研究</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CSCD核心3篇</w:t>
            </w: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尹福泉</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硕士学位论文</w:t>
            </w:r>
          </w:p>
        </w:tc>
      </w:tr>
      <w:tr>
        <w:tblPrEx>
          <w:tblLayout w:type="fixed"/>
          <w:tblCellMar>
            <w:top w:w="0" w:type="dxa"/>
            <w:left w:w="108" w:type="dxa"/>
            <w:bottom w:w="0" w:type="dxa"/>
            <w:right w:w="108" w:type="dxa"/>
          </w:tblCellMar>
        </w:tblPrEx>
        <w:trPr>
          <w:gridAfter w:val="1"/>
          <w:wAfter w:w="942" w:type="dxa"/>
          <w:trHeight w:val="585"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9</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孙兴涛</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20170615</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植物病理学</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雷州半岛桐花树病害病原菌分离鉴定</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一区1篇IF=3.173</w:t>
            </w: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何红</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硕士学位论文</w:t>
            </w:r>
          </w:p>
        </w:tc>
      </w:tr>
      <w:tr>
        <w:tblPrEx>
          <w:tblLayout w:type="fixed"/>
          <w:tblCellMar>
            <w:top w:w="0" w:type="dxa"/>
            <w:left w:w="108" w:type="dxa"/>
            <w:bottom w:w="0" w:type="dxa"/>
            <w:right w:w="108" w:type="dxa"/>
          </w:tblCellMar>
        </w:tblPrEx>
        <w:trPr>
          <w:gridAfter w:val="1"/>
          <w:wAfter w:w="942" w:type="dxa"/>
          <w:trHeight w:val="765"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10</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张苇锟</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20170615</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行政管理</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海洋新能源产业发展创新及制度保障—基于技术改进的动态博弈视阀</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CSSCI4区1篇</w:t>
            </w: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白福臣</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硕士学位论文</w:t>
            </w:r>
          </w:p>
        </w:tc>
      </w:tr>
      <w:tr>
        <w:tblPrEx>
          <w:tblLayout w:type="fixed"/>
          <w:tblCellMar>
            <w:top w:w="0" w:type="dxa"/>
            <w:left w:w="108" w:type="dxa"/>
            <w:bottom w:w="0" w:type="dxa"/>
            <w:right w:w="108" w:type="dxa"/>
          </w:tblCellMar>
        </w:tblPrEx>
        <w:trPr>
          <w:gridAfter w:val="1"/>
          <w:wAfter w:w="942" w:type="dxa"/>
          <w:trHeight w:val="540" w:hRule="atLeast"/>
        </w:trPr>
        <w:tc>
          <w:tcPr>
            <w:tcW w:w="52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11</w:t>
            </w:r>
          </w:p>
        </w:tc>
        <w:tc>
          <w:tcPr>
            <w:tcW w:w="771" w:type="dxa"/>
            <w:gridSpan w:val="2"/>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李祥</w:t>
            </w:r>
          </w:p>
        </w:tc>
        <w:tc>
          <w:tcPr>
            <w:tcW w:w="992"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20170615</w:t>
            </w:r>
          </w:p>
        </w:tc>
        <w:tc>
          <w:tcPr>
            <w:tcW w:w="1560"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行政管理</w:t>
            </w:r>
          </w:p>
        </w:tc>
        <w:tc>
          <w:tcPr>
            <w:tcW w:w="2677"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我国集中连片特困地区精准扶贫的模式比较及政策建议研究</w:t>
            </w:r>
          </w:p>
        </w:tc>
        <w:tc>
          <w:tcPr>
            <w:tcW w:w="2000"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p>
        </w:tc>
        <w:tc>
          <w:tcPr>
            <w:tcW w:w="1134"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CSSCI扩展2篇</w:t>
            </w:r>
          </w:p>
        </w:tc>
        <w:tc>
          <w:tcPr>
            <w:tcW w:w="851"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张玉强</w:t>
            </w:r>
          </w:p>
        </w:tc>
        <w:tc>
          <w:tcPr>
            <w:tcW w:w="1417" w:type="dxa"/>
            <w:tcBorders>
              <w:top w:val="nil"/>
              <w:left w:val="nil"/>
              <w:bottom w:val="single" w:color="auto" w:sz="4" w:space="0"/>
              <w:right w:val="single" w:color="auto" w:sz="4" w:space="0"/>
            </w:tcBorders>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硕士学位论文</w:t>
            </w:r>
          </w:p>
        </w:tc>
      </w:tr>
    </w:tbl>
    <w:p>
      <w:pPr>
        <w:pStyle w:val="5"/>
        <w:spacing w:before="0" w:beforeAutospacing="0" w:after="0" w:afterAutospacing="0" w:line="480" w:lineRule="auto"/>
        <w:rPr>
          <w:sz w:val="28"/>
          <w:szCs w:val="28"/>
        </w:rPr>
      </w:pPr>
    </w:p>
    <w:sectPr>
      <w:pgSz w:w="16838" w:h="11906" w:orient="landscape"/>
      <w:pgMar w:top="567" w:right="567" w:bottom="737" w:left="567" w:header="709" w:footer="709" w:gutter="0"/>
      <w:cols w:space="708" w:num="1"/>
      <w:docGrid w:type="linesAndChar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2"/>
  </w:compat>
  <w:rsids>
    <w:rsidRoot w:val="00A346DE"/>
    <w:rsid w:val="0001676B"/>
    <w:rsid w:val="000361AA"/>
    <w:rsid w:val="00095C19"/>
    <w:rsid w:val="000A3101"/>
    <w:rsid w:val="000E32A9"/>
    <w:rsid w:val="00124756"/>
    <w:rsid w:val="0018532A"/>
    <w:rsid w:val="001A427B"/>
    <w:rsid w:val="001B0042"/>
    <w:rsid w:val="001F2CBC"/>
    <w:rsid w:val="001F2FE2"/>
    <w:rsid w:val="002629A3"/>
    <w:rsid w:val="00292446"/>
    <w:rsid w:val="002B0C9E"/>
    <w:rsid w:val="002C732E"/>
    <w:rsid w:val="002C7EB3"/>
    <w:rsid w:val="002D3B82"/>
    <w:rsid w:val="00323B36"/>
    <w:rsid w:val="00323B43"/>
    <w:rsid w:val="003A566F"/>
    <w:rsid w:val="003D37D8"/>
    <w:rsid w:val="003D41B2"/>
    <w:rsid w:val="004358AB"/>
    <w:rsid w:val="00471B39"/>
    <w:rsid w:val="004A27F3"/>
    <w:rsid w:val="004E42EF"/>
    <w:rsid w:val="004F6C70"/>
    <w:rsid w:val="00553B02"/>
    <w:rsid w:val="00584173"/>
    <w:rsid w:val="005A3B7E"/>
    <w:rsid w:val="005D435C"/>
    <w:rsid w:val="006C3C95"/>
    <w:rsid w:val="007121C5"/>
    <w:rsid w:val="00763F3B"/>
    <w:rsid w:val="007E25B6"/>
    <w:rsid w:val="008B0A46"/>
    <w:rsid w:val="008B1234"/>
    <w:rsid w:val="008B4E15"/>
    <w:rsid w:val="008B7726"/>
    <w:rsid w:val="00903DF8"/>
    <w:rsid w:val="009232D7"/>
    <w:rsid w:val="00935EC4"/>
    <w:rsid w:val="009F7B0B"/>
    <w:rsid w:val="00A346DE"/>
    <w:rsid w:val="00A62D8B"/>
    <w:rsid w:val="00A73DAA"/>
    <w:rsid w:val="00AB3A5A"/>
    <w:rsid w:val="00AE54D1"/>
    <w:rsid w:val="00AF62F5"/>
    <w:rsid w:val="00B2544F"/>
    <w:rsid w:val="00B26720"/>
    <w:rsid w:val="00B27818"/>
    <w:rsid w:val="00B36CDD"/>
    <w:rsid w:val="00B42190"/>
    <w:rsid w:val="00B6605E"/>
    <w:rsid w:val="00BA210F"/>
    <w:rsid w:val="00BB787A"/>
    <w:rsid w:val="00C053D6"/>
    <w:rsid w:val="00C153A4"/>
    <w:rsid w:val="00C25D90"/>
    <w:rsid w:val="00C64CBA"/>
    <w:rsid w:val="00C93163"/>
    <w:rsid w:val="00CC316E"/>
    <w:rsid w:val="00CC4B36"/>
    <w:rsid w:val="00D338A9"/>
    <w:rsid w:val="00D67321"/>
    <w:rsid w:val="00D72C79"/>
    <w:rsid w:val="00D76E16"/>
    <w:rsid w:val="00DC5246"/>
    <w:rsid w:val="00E11245"/>
    <w:rsid w:val="00E507B9"/>
    <w:rsid w:val="00EB03DC"/>
    <w:rsid w:val="00EE21DF"/>
    <w:rsid w:val="00EF6EA5"/>
    <w:rsid w:val="00F0305E"/>
    <w:rsid w:val="00F42379"/>
    <w:rsid w:val="00F72D80"/>
    <w:rsid w:val="00F7389B"/>
    <w:rsid w:val="00F8678E"/>
    <w:rsid w:val="00FA3AB3"/>
    <w:rsid w:val="00FD1154"/>
    <w:rsid w:val="22A53199"/>
    <w:rsid w:val="27823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1"/>
    <w:semiHidden/>
    <w:unhideWhenUsed/>
    <w:uiPriority w:val="99"/>
    <w:pPr>
      <w:ind w:left="100" w:leftChars="2500"/>
    </w:pPr>
  </w:style>
  <w:style w:type="paragraph" w:styleId="3">
    <w:name w:val="footer"/>
    <w:basedOn w:val="1"/>
    <w:link w:val="10"/>
    <w:unhideWhenUsed/>
    <w:uiPriority w:val="99"/>
    <w:pPr>
      <w:tabs>
        <w:tab w:val="center" w:pos="4153"/>
        <w:tab w:val="right" w:pos="8306"/>
      </w:tabs>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jc w:val="center"/>
    </w:pPr>
    <w:rPr>
      <w:sz w:val="18"/>
      <w:szCs w:val="18"/>
    </w:rPr>
  </w:style>
  <w:style w:type="paragraph" w:styleId="5">
    <w:name w:val="Normal (Web)"/>
    <w:basedOn w:val="1"/>
    <w:unhideWhenUsed/>
    <w:uiPriority w:val="99"/>
    <w:pPr>
      <w:adjustRightInd/>
      <w:snapToGrid/>
      <w:spacing w:before="100" w:beforeAutospacing="1" w:after="100" w:afterAutospacing="1"/>
    </w:pPr>
    <w:rPr>
      <w:rFonts w:ascii="宋体" w:hAnsi="宋体" w:eastAsia="宋体" w:cs="宋体"/>
      <w:sz w:val="24"/>
      <w:szCs w:val="24"/>
    </w:rPr>
  </w:style>
  <w:style w:type="character" w:styleId="7">
    <w:name w:val="Hyperlink"/>
    <w:basedOn w:val="6"/>
    <w:unhideWhenUsed/>
    <w:qFormat/>
    <w:uiPriority w:val="99"/>
    <w:rPr>
      <w:color w:val="0000FF" w:themeColor="hyperlink"/>
      <w:u w:val="single"/>
    </w:rPr>
  </w:style>
  <w:style w:type="character" w:customStyle="1" w:styleId="9">
    <w:name w:val="页眉 Char"/>
    <w:basedOn w:val="6"/>
    <w:link w:val="4"/>
    <w:uiPriority w:val="99"/>
    <w:rPr>
      <w:rFonts w:ascii="Tahoma" w:hAnsi="Tahoma"/>
      <w:sz w:val="18"/>
      <w:szCs w:val="18"/>
    </w:rPr>
  </w:style>
  <w:style w:type="character" w:customStyle="1" w:styleId="10">
    <w:name w:val="页脚 Char"/>
    <w:basedOn w:val="6"/>
    <w:link w:val="3"/>
    <w:uiPriority w:val="99"/>
    <w:rPr>
      <w:rFonts w:ascii="Tahoma" w:hAnsi="Tahoma"/>
      <w:sz w:val="18"/>
      <w:szCs w:val="18"/>
    </w:rPr>
  </w:style>
  <w:style w:type="character" w:customStyle="1" w:styleId="11">
    <w:name w:val="日期 Char"/>
    <w:basedOn w:val="6"/>
    <w:link w:val="2"/>
    <w:semiHidden/>
    <w:qFormat/>
    <w:uiPriority w:val="99"/>
    <w:rPr>
      <w:rFonts w:ascii="Tahoma" w:hAnsi="Tahom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223</Words>
  <Characters>1274</Characters>
  <Lines>10</Lines>
  <Paragraphs>2</Paragraphs>
  <TotalTime>163</TotalTime>
  <ScaleCrop>false</ScaleCrop>
  <LinksUpToDate>false</LinksUpToDate>
  <CharactersWithSpaces>1495</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2018-05-22T01:32:00Z</dcterms:created>
  <dc:creator>User</dc:creator>
  <cp:lastModifiedBy>Administrator</cp:lastModifiedBy>
  <cp:lastPrinted>2017-06-21T07:53:00Z</cp:lastPrinted>
  <dcterms:modified xsi:type="dcterms:W3CDTF">2018-06-19T07:14:17Z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