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jc w:val="left"/>
        <w:rPr>
          <w:rFonts w:eastAsia="黑体"/>
          <w:sz w:val="32"/>
          <w:szCs w:val="32"/>
        </w:rPr>
      </w:pPr>
      <w:r>
        <w:rPr>
          <w:rFonts w:eastAsia="黑体" w:hint="eastAsia"/>
          <w:sz w:val="32"/>
          <w:szCs w:val="32"/>
        </w:rPr>
        <w:t>附件</w:t>
      </w:r>
      <w:r>
        <w:rPr>
          <w:rFonts w:eastAsia="黑体"/>
          <w:sz w:val="32"/>
          <w:szCs w:val="32"/>
        </w:rPr>
        <w:t>1</w:t>
      </w:r>
    </w:p>
    <w:p>
      <w:pPr>
        <w:spacing w:line="560" w:lineRule="exact"/>
        <w:jc w:val="center"/>
        <w:rPr>
          <w:rFonts w:eastAsia="方正小标宋简体"/>
          <w:sz w:val="36"/>
          <w:szCs w:val="36"/>
        </w:rPr>
      </w:pPr>
      <w:r>
        <w:rPr>
          <w:rFonts w:eastAsia="方正小标宋简体" w:hint="eastAsia"/>
          <w:sz w:val="36"/>
          <w:szCs w:val="36"/>
        </w:rPr>
        <w:t>高校思想政治工作重点任务落实情况台账</w:t>
      </w:r>
    </w:p>
    <w:p>
      <w:pPr>
        <w:spacing w:line="560" w:lineRule="exact"/>
        <w:rPr>
          <w:b/>
          <w:sz w:val="28"/>
          <w:szCs w:val="28"/>
        </w:rPr>
      </w:pPr>
      <w:r>
        <w:rPr>
          <w:rFonts w:hint="eastAsia"/>
          <w:b/>
          <w:sz w:val="28"/>
          <w:szCs w:val="28"/>
        </w:rPr>
        <w:t>填报</w:t>
      </w:r>
      <w:r>
        <w:rPr>
          <w:b/>
          <w:sz w:val="28"/>
          <w:szCs w:val="28"/>
        </w:rPr>
        <w:t>单位（部门）</w:t>
      </w:r>
      <w:r>
        <w:rPr>
          <w:rFonts w:hint="eastAsia"/>
          <w:b/>
          <w:sz w:val="28"/>
          <w:szCs w:val="28"/>
        </w:rPr>
        <w:t>：</w:t>
      </w:r>
      <w:r>
        <w:rPr>
          <w:b/>
          <w:sz w:val="28"/>
          <w:szCs w:val="28"/>
        </w:rPr>
        <w:t xml:space="preserve">                                                    </w:t>
      </w:r>
      <w:r>
        <w:rPr>
          <w:rFonts w:hint="eastAsia"/>
          <w:b/>
          <w:sz w:val="28"/>
          <w:szCs w:val="28"/>
        </w:rPr>
        <w:t>填报时间：</w:t>
      </w:r>
      <w:r>
        <w:rPr>
          <w:b/>
          <w:sz w:val="28"/>
          <w:szCs w:val="28"/>
        </w:rPr>
        <w:t>2019年3月   日</w:t>
      </w:r>
    </w:p>
    <w:tbl>
      <w:tblPr>
        <w:jc w:val="cente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368"/>
        <w:gridCol w:w="5105"/>
        <w:gridCol w:w="2185"/>
        <w:gridCol w:w="1911"/>
        <w:gridCol w:w="1658"/>
        <w:gridCol w:w="1946"/>
      </w:tblGrid>
      <w:tr>
        <w:trPr>
          <w:tblHeader/>
        </w:trPr>
        <w:tc>
          <w:tcPr>
            <w:tcW w:w="1368" w:type="dxa"/>
            <w:vAlign w:val="center"/>
          </w:tcPr>
          <w:p>
            <w:pPr>
              <w:spacing w:line="360" w:lineRule="exact"/>
              <w:jc w:val="center"/>
              <w:rPr>
                <w:b/>
                <w:sz w:val="24"/>
              </w:rPr>
            </w:pPr>
            <w:r>
              <w:rPr>
                <w:rFonts w:hint="eastAsia"/>
                <w:b/>
                <w:sz w:val="24"/>
              </w:rPr>
              <w:t>工作任务</w:t>
            </w:r>
          </w:p>
        </w:tc>
        <w:tc>
          <w:tcPr>
            <w:tcW w:w="5105" w:type="dxa"/>
            <w:vAlign w:val="center"/>
          </w:tcPr>
          <w:p>
            <w:pPr>
              <w:spacing w:line="360" w:lineRule="exact"/>
              <w:jc w:val="center"/>
              <w:rPr>
                <w:b/>
                <w:sz w:val="24"/>
              </w:rPr>
            </w:pPr>
            <w:r>
              <w:rPr>
                <w:rFonts w:hint="eastAsia"/>
                <w:b/>
                <w:sz w:val="24"/>
              </w:rPr>
              <w:t>工作要求</w:t>
            </w:r>
          </w:p>
        </w:tc>
        <w:tc>
          <w:tcPr>
            <w:tcW w:w="2185" w:type="dxa"/>
            <w:vAlign w:val="center"/>
          </w:tcPr>
          <w:p>
            <w:pPr>
              <w:spacing w:line="360" w:lineRule="exact"/>
              <w:jc w:val="center"/>
              <w:rPr>
                <w:b/>
                <w:sz w:val="24"/>
              </w:rPr>
            </w:pPr>
            <w:r>
              <w:rPr>
                <w:rFonts w:hint="eastAsia"/>
                <w:b/>
                <w:sz w:val="24"/>
              </w:rPr>
              <w:t>主要进展情况</w:t>
            </w:r>
          </w:p>
        </w:tc>
        <w:tc>
          <w:tcPr>
            <w:tcW w:w="1911" w:type="dxa"/>
            <w:vAlign w:val="center"/>
          </w:tcPr>
          <w:p>
            <w:pPr>
              <w:spacing w:line="360" w:lineRule="exact"/>
              <w:jc w:val="center"/>
              <w:rPr>
                <w:b/>
                <w:sz w:val="24"/>
              </w:rPr>
            </w:pPr>
            <w:r>
              <w:rPr>
                <w:rFonts w:hint="eastAsia"/>
                <w:b/>
                <w:sz w:val="24"/>
              </w:rPr>
              <w:t>存在问题和不足</w:t>
            </w:r>
          </w:p>
        </w:tc>
        <w:tc>
          <w:tcPr>
            <w:tcW w:w="1658" w:type="dxa"/>
            <w:vAlign w:val="center"/>
          </w:tcPr>
          <w:p>
            <w:pPr>
              <w:spacing w:line="360" w:lineRule="exact"/>
              <w:jc w:val="center"/>
              <w:rPr>
                <w:b/>
                <w:sz w:val="24"/>
              </w:rPr>
            </w:pPr>
            <w:r>
              <w:rPr>
                <w:rFonts w:hint="eastAsia"/>
                <w:b/>
                <w:sz w:val="24"/>
              </w:rPr>
              <w:t>整改措施</w:t>
            </w:r>
          </w:p>
        </w:tc>
        <w:tc>
          <w:tcPr>
            <w:tcW w:w="1946" w:type="dxa"/>
            <w:vAlign w:val="center"/>
          </w:tcPr>
          <w:p>
            <w:pPr>
              <w:spacing w:line="360" w:lineRule="exact"/>
              <w:jc w:val="center"/>
              <w:rPr>
                <w:b/>
                <w:sz w:val="24"/>
              </w:rPr>
            </w:pPr>
            <w:r>
              <w:rPr>
                <w:b/>
                <w:sz w:val="24"/>
              </w:rPr>
              <w:t>责任单位（部门）</w:t>
            </w:r>
          </w:p>
        </w:tc>
      </w:tr>
      <w:tr>
        <w:tc>
          <w:tcPr>
            <w:tcW w:w="1368" w:type="dxa"/>
            <w:vMerge w:val="restart"/>
            <w:vAlign w:val="center"/>
          </w:tcPr>
          <w:p>
            <w:pPr>
              <w:spacing w:line="360" w:lineRule="exact"/>
              <w:rPr>
                <w:rFonts w:hint="eastAsia"/>
                <w:sz w:val="24"/>
              </w:rPr>
            </w:pPr>
            <w:r>
              <w:rPr>
                <w:rFonts w:hint="eastAsia"/>
                <w:sz w:val="24"/>
              </w:rPr>
              <w:t>一、强化思想理论教育和价值引领</w:t>
            </w:r>
          </w:p>
        </w:tc>
        <w:tc>
          <w:tcPr>
            <w:tcW w:w="5105" w:type="dxa"/>
          </w:tcPr>
          <w:p>
            <w:pPr>
              <w:spacing w:line="360" w:lineRule="exact"/>
              <w:rPr>
                <w:rFonts w:hint="eastAsia"/>
                <w:sz w:val="24"/>
              </w:rPr>
            </w:pPr>
            <w:r>
              <w:rPr>
                <w:rFonts w:hint="eastAsia"/>
                <w:sz w:val="24"/>
              </w:rPr>
              <w:t>﹡1．推进习近平新时代中国特色社会主义思想进教材、进课堂、进师生头脑，教育引导师生真正学懂弄通做实。</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bookmarkStart w:id="0" w:name="_GoBack"/>
            <w:bookmarkEnd w:id="0"/>
            <w:r>
              <w:rPr>
                <w:sz w:val="24"/>
              </w:rPr>
              <w:t>马克思主义学院</w:t>
            </w:r>
          </w:p>
        </w:tc>
      </w:tr>
      <w:tr>
        <w:tc>
          <w:tcPr>
            <w:tcW w:w="1558" w:type="dxa"/>
            <w:vMerge/>
            <w:vAlign w:val="center"/>
          </w:tcPr>
          <w:p/>
        </w:tc>
        <w:tc>
          <w:tcPr>
            <w:tcW w:w="5105" w:type="dxa"/>
          </w:tcPr>
          <w:p>
            <w:pPr>
              <w:spacing w:line="360" w:lineRule="exact"/>
              <w:rPr>
                <w:rFonts w:hint="eastAsia"/>
                <w:sz w:val="24"/>
              </w:rPr>
            </w:pPr>
            <w:r>
              <w:rPr>
                <w:rFonts w:hint="eastAsia"/>
                <w:sz w:val="24"/>
              </w:rPr>
              <w:t>2．落实《关于高校切实落实立德树人根本任务进一步提高师生对新时代中国特色社会主义重大问题思想认识的方案》要求，加强理想信念教育，传播马克思主义科学理论，开展中国特色社会主义理论体系学习教育，提高师生对马克思主义指导地位、我国根本政治制度、党的领导等重大问题的认识。</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p>
        </w:tc>
      </w:tr>
      <w:tr>
        <w:tc>
          <w:tcPr>
            <w:tcW w:w="1558" w:type="dxa"/>
            <w:vMerge/>
            <w:vAlign w:val="center"/>
          </w:tcPr>
          <w:p/>
        </w:tc>
        <w:tc>
          <w:tcPr>
            <w:tcW w:w="5105" w:type="dxa"/>
          </w:tcPr>
          <w:p>
            <w:pPr>
              <w:spacing w:line="360" w:lineRule="exact"/>
              <w:rPr>
                <w:rFonts w:hint="eastAsia"/>
                <w:sz w:val="24"/>
              </w:rPr>
            </w:pPr>
            <w:r>
              <w:rPr>
                <w:rFonts w:hint="eastAsia"/>
                <w:sz w:val="24"/>
              </w:rPr>
              <w:t>3．坚持贯穿结合融入、落细落小落实，健全和完善培育和践行社会主义核心价值观长效机制。</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p>
        </w:tc>
      </w:tr>
      <w:tr>
        <w:tc>
          <w:tcPr>
            <w:tcW w:w="1558" w:type="dxa"/>
            <w:vMerge/>
            <w:vAlign w:val="center"/>
          </w:tcPr>
          <w:p/>
        </w:tc>
        <w:tc>
          <w:tcPr>
            <w:tcW w:w="5105" w:type="dxa"/>
          </w:tcPr>
          <w:p>
            <w:pPr>
              <w:spacing w:line="360" w:lineRule="exact"/>
              <w:rPr>
                <w:rFonts w:hint="eastAsia"/>
                <w:sz w:val="24"/>
              </w:rPr>
            </w:pPr>
            <w:r>
              <w:rPr>
                <w:rFonts w:hint="eastAsia"/>
                <w:sz w:val="24"/>
              </w:rPr>
              <w:t>4．弘扬中华优秀传统文化和革命文化、社会主义先进文化，广泛开展文明校园创建。</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p>
        </w:tc>
      </w:tr>
      <w:tr>
        <w:tc>
          <w:tcPr>
            <w:tcW w:w="1558" w:type="dxa"/>
            <w:vMerge/>
            <w:vAlign w:val="center"/>
          </w:tcPr>
          <w:p/>
        </w:tc>
        <w:tc>
          <w:tcPr>
            <w:tcW w:w="5105" w:type="dxa"/>
          </w:tcPr>
          <w:p>
            <w:pPr>
              <w:spacing w:line="360" w:lineRule="exact"/>
              <w:rPr>
                <w:rFonts w:hint="eastAsia"/>
                <w:sz w:val="24"/>
              </w:rPr>
            </w:pPr>
            <w:r>
              <w:rPr>
                <w:rFonts w:hint="eastAsia"/>
                <w:sz w:val="24"/>
              </w:rPr>
              <w:t>5．鼓励把马克思主义理论学科作为校级重点学科扶持。</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p>
        </w:tc>
      </w:tr>
      <w:tr>
        <w:tc>
          <w:tcPr>
            <w:tcW w:w="1558" w:type="dxa"/>
            <w:vMerge/>
            <w:vAlign w:val="center"/>
          </w:tcPr>
          <w:p/>
        </w:tc>
        <w:tc>
          <w:tcPr>
            <w:tcW w:w="5105" w:type="dxa"/>
          </w:tcPr>
          <w:p>
            <w:pPr>
              <w:spacing w:line="360" w:lineRule="exact"/>
              <w:rPr>
                <w:rFonts w:hint="eastAsia"/>
                <w:sz w:val="24"/>
              </w:rPr>
            </w:pPr>
            <w:r>
              <w:rPr>
                <w:rFonts w:hint="eastAsia"/>
                <w:sz w:val="24"/>
              </w:rPr>
              <w:t>6．规范哲学社会科学教材选用，统一使用马克思主义理论研究和建设工程重点教材。</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p>
        </w:tc>
      </w:tr>
      <w:tr>
        <w:tc>
          <w:tcPr>
            <w:tcW w:w="1558" w:type="dxa"/>
            <w:vMerge/>
            <w:vAlign w:val="center"/>
          </w:tcPr>
          <w:p/>
        </w:tc>
        <w:tc>
          <w:tcPr>
            <w:tcW w:w="5105" w:type="dxa"/>
          </w:tcPr>
          <w:p>
            <w:pPr>
              <w:spacing w:line="360" w:lineRule="exact"/>
              <w:rPr>
                <w:rFonts w:hint="eastAsia"/>
                <w:sz w:val="24"/>
              </w:rPr>
            </w:pPr>
            <w:r>
              <w:rPr>
                <w:rFonts w:hint="eastAsia"/>
                <w:sz w:val="24"/>
              </w:rPr>
              <w:t>7．高校党委对哲学社会科学学科教材编审和选用进行导向和质量把关，规范教材选用。</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p>
        </w:tc>
      </w:tr>
      <w:tr>
        <w:tc>
          <w:tcPr>
            <w:tcW w:w="1368" w:type="dxa"/>
            <w:vMerge w:val="restart"/>
            <w:vAlign w:val="center"/>
          </w:tcPr>
          <w:p>
            <w:pPr>
              <w:spacing w:line="360" w:lineRule="exact"/>
              <w:rPr>
                <w:rFonts w:hint="eastAsia"/>
                <w:sz w:val="24"/>
              </w:rPr>
            </w:pPr>
            <w:r>
              <w:rPr>
                <w:rFonts w:hint="eastAsia"/>
                <w:sz w:val="24"/>
              </w:rPr>
              <w:t>二、加强高校思想政治理论课和心理健康教育课建设</w:t>
            </w:r>
          </w:p>
        </w:tc>
        <w:tc>
          <w:tcPr>
            <w:tcW w:w="5105" w:type="dxa"/>
          </w:tcPr>
          <w:p>
            <w:pPr>
              <w:spacing w:line="360" w:lineRule="exact"/>
              <w:rPr>
                <w:rFonts w:hint="eastAsia"/>
                <w:sz w:val="24"/>
              </w:rPr>
            </w:pPr>
            <w:r>
              <w:rPr>
                <w:rFonts w:hint="eastAsia"/>
                <w:sz w:val="24"/>
              </w:rPr>
              <w:t>﹡8．严格落实思想政治理论课学分要求，本科5门课要求：“马克思主义基本原理概论”课（简称“原理”课）3学分、“毛泽东思想和中国特色社会主义理论体系概论” 课（简称“概论”课）5学分、“中国近现代史纲要” 课（简称“纲要”课）3学分、“思想道德修养与法律基础” 课（简称“基础”课）3学分、“形势与政策”课2学分；专科3门课要求：“毛泽东思想和中国特色社会主义理论体系概论” 课（简称“概论”课）4学分、“思想道德修养与法律基础” 课（简称“基础”课）3学分、“形势与政策”课1学分；实践教学要求：本科2学分、专科1学分。</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r>
              <w:rPr>
                <w:sz w:val="24"/>
              </w:rPr>
              <w:t>教务处</w:t>
            </w:r>
          </w:p>
        </w:tc>
      </w:tr>
      <w:tr>
        <w:tc>
          <w:tcPr>
            <w:tcW w:w="1558" w:type="dxa"/>
            <w:vMerge/>
            <w:vAlign w:val="center"/>
          </w:tcPr>
          <w:p/>
        </w:tc>
        <w:tc>
          <w:tcPr>
            <w:tcW w:w="5105" w:type="dxa"/>
          </w:tcPr>
          <w:p>
            <w:pPr>
              <w:spacing w:line="360" w:lineRule="exact"/>
              <w:rPr>
                <w:rFonts w:hint="eastAsia"/>
                <w:sz w:val="24"/>
              </w:rPr>
            </w:pPr>
            <w:r>
              <w:rPr>
                <w:rFonts w:hint="eastAsia"/>
                <w:sz w:val="24"/>
              </w:rPr>
              <w:t>﹡9．合理安排教务，原则上本科生先学习“基础”课、“纲要”课，再学习“原理”课、“概论”课，专科生先学习“基础”课，再学习“概论”课；本专科学生每学期必修“形势与政策”课，每学期不低于8学时；原则上晚间和周末不安排思想政治理论课必修课。</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r>
              <w:rPr>
                <w:sz w:val="24"/>
              </w:rPr>
              <w:t>教务处</w:t>
            </w:r>
          </w:p>
        </w:tc>
      </w:tr>
      <w:tr>
        <w:tc>
          <w:tcPr>
            <w:tcW w:w="1558" w:type="dxa"/>
            <w:vMerge/>
            <w:vAlign w:val="center"/>
          </w:tcPr>
          <w:p/>
        </w:tc>
        <w:tc>
          <w:tcPr>
            <w:tcW w:w="5105" w:type="dxa"/>
          </w:tcPr>
          <w:p>
            <w:pPr>
              <w:spacing w:line="360" w:lineRule="exact"/>
              <w:rPr>
                <w:rFonts w:hint="eastAsia"/>
                <w:sz w:val="24"/>
              </w:rPr>
            </w:pPr>
            <w:r>
              <w:rPr>
                <w:rFonts w:hint="eastAsia"/>
                <w:sz w:val="24"/>
              </w:rPr>
              <w:t>﹡10．独立设置直属学校领导的、与学校其他二级院（系）行政同级的思想政治理论课教学科研组织二级机构。</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r>
              <w:rPr>
                <w:sz w:val="24"/>
              </w:rPr>
              <w:t>人事处</w:t>
            </w:r>
          </w:p>
        </w:tc>
      </w:tr>
      <w:tr>
        <w:tc>
          <w:tcPr>
            <w:tcW w:w="1558" w:type="dxa"/>
            <w:vMerge/>
            <w:vAlign w:val="center"/>
          </w:tcPr>
          <w:p/>
        </w:tc>
        <w:tc>
          <w:tcPr>
            <w:tcW w:w="5105" w:type="dxa"/>
          </w:tcPr>
          <w:p>
            <w:pPr>
              <w:spacing w:line="360" w:lineRule="exact"/>
              <w:rPr>
                <w:rFonts w:hint="eastAsia"/>
                <w:sz w:val="24"/>
              </w:rPr>
            </w:pPr>
            <w:r>
              <w:rPr>
                <w:rFonts w:hint="eastAsia"/>
                <w:sz w:val="24"/>
              </w:rPr>
              <w:t>﹡11．在保障思想政治理论课教学科研机构正常运转的各项经费的同时，本科院校按在校本硕博全部学生总数每生每年不低于20元，专科院校每生每年不低于15元的标准提取专项经费。</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r>
              <w:rPr>
                <w:sz w:val="24"/>
              </w:rPr>
              <w:t>财务处</w:t>
            </w:r>
          </w:p>
        </w:tc>
      </w:tr>
      <w:tr>
        <w:tc>
          <w:tcPr>
            <w:tcW w:w="1558" w:type="dxa"/>
            <w:vMerge/>
            <w:vAlign w:val="center"/>
          </w:tcPr>
          <w:p/>
        </w:tc>
        <w:tc>
          <w:tcPr>
            <w:tcW w:w="5105" w:type="dxa"/>
          </w:tcPr>
          <w:p>
            <w:pPr>
              <w:spacing w:line="360" w:lineRule="exact"/>
              <w:rPr>
                <w:rFonts w:hint="eastAsia"/>
                <w:sz w:val="24"/>
              </w:rPr>
            </w:pPr>
            <w:r>
              <w:rPr>
                <w:rFonts w:hint="eastAsia"/>
                <w:sz w:val="24"/>
              </w:rPr>
              <w:t>﹡12．高校党委书记、校长，分管思想政治理论课建设和分管教学、科研工作的校领导，对每门思想政治理论课必修课，每人每学期至少听1次课。</w:t>
            </w:r>
          </w:p>
        </w:tc>
        <w:tc>
          <w:tcPr>
            <w:tcW w:w="2185" w:type="dxa"/>
          </w:tcPr>
          <w:p>
            <w:pPr>
              <w:spacing w:line="360" w:lineRule="exact"/>
              <w:ind w:left="120" w:hangingChars="50" w:hanging="120"/>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r>
              <w:rPr>
                <w:sz w:val="24"/>
              </w:rPr>
              <w:t>党委办、校长办</w:t>
            </w:r>
          </w:p>
        </w:tc>
      </w:tr>
      <w:tr>
        <w:tc>
          <w:tcPr>
            <w:tcW w:w="1558" w:type="dxa"/>
            <w:vMerge/>
            <w:vAlign w:val="center"/>
          </w:tcPr>
          <w:p/>
        </w:tc>
        <w:tc>
          <w:tcPr>
            <w:tcW w:w="5105" w:type="dxa"/>
          </w:tcPr>
          <w:p>
            <w:pPr>
              <w:spacing w:line="360" w:lineRule="exact"/>
              <w:rPr>
                <w:rFonts w:hint="eastAsia"/>
                <w:sz w:val="24"/>
              </w:rPr>
            </w:pPr>
            <w:r>
              <w:rPr>
                <w:rFonts w:hint="eastAsia"/>
                <w:sz w:val="24"/>
              </w:rPr>
              <w:t>13．落实高校党委书记、校长和院（系）党组织书记、院长（系主任）每学期为学生上第一堂思想政治理论课制度。</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p>
        </w:tc>
      </w:tr>
      <w:tr>
        <w:tc>
          <w:tcPr>
            <w:tcW w:w="1558" w:type="dxa"/>
            <w:vMerge/>
            <w:vAlign w:val="center"/>
          </w:tcPr>
          <w:p/>
        </w:tc>
        <w:tc>
          <w:tcPr>
            <w:tcW w:w="5105" w:type="dxa"/>
          </w:tcPr>
          <w:p>
            <w:pPr>
              <w:spacing w:line="360" w:lineRule="exact"/>
              <w:rPr>
                <w:rFonts w:hint="eastAsia"/>
                <w:sz w:val="24"/>
              </w:rPr>
            </w:pPr>
            <w:r>
              <w:rPr>
                <w:rFonts w:hint="eastAsia"/>
                <w:sz w:val="24"/>
              </w:rPr>
              <w:t>﹡14．落实思想政治理论课教师与专业课教师的课时计算持相同标准。</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r>
              <w:rPr>
                <w:sz w:val="24"/>
              </w:rPr>
              <w:t>人事处</w:t>
            </w:r>
          </w:p>
        </w:tc>
      </w:tr>
      <w:tr>
        <w:tc>
          <w:tcPr>
            <w:tcW w:w="1558" w:type="dxa"/>
            <w:vMerge/>
            <w:vAlign w:val="center"/>
          </w:tcPr>
          <w:p/>
        </w:tc>
        <w:tc>
          <w:tcPr>
            <w:tcW w:w="5105" w:type="dxa"/>
          </w:tcPr>
          <w:p>
            <w:pPr>
              <w:spacing w:line="360" w:lineRule="exact"/>
              <w:rPr>
                <w:rFonts w:hint="eastAsia"/>
                <w:sz w:val="24"/>
              </w:rPr>
            </w:pPr>
            <w:r>
              <w:rPr>
                <w:rFonts w:hint="eastAsia"/>
                <w:sz w:val="24"/>
              </w:rPr>
              <w:t>15．推行思想政治理论课特聘教授制度，建立特聘教授资源库。</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vAlign w:val="center"/>
          </w:tcPr>
          <w:p>
            <w:pPr>
              <w:spacing w:line="360" w:lineRule="exact"/>
              <w:rPr>
                <w:rFonts w:hint="eastAsia"/>
                <w:sz w:val="24"/>
              </w:rPr>
            </w:pPr>
          </w:p>
        </w:tc>
        <w:tc>
          <w:tcPr>
            <w:tcW w:w="1946" w:type="dxa"/>
            <w:vAlign w:val="center"/>
          </w:tcPr>
          <w:p>
            <w:pPr>
              <w:spacing w:line="360" w:lineRule="exact"/>
              <w:rPr>
                <w:sz w:val="24"/>
              </w:rPr>
            </w:pPr>
          </w:p>
        </w:tc>
      </w:tr>
      <w:tr>
        <w:tc>
          <w:tcPr>
            <w:tcW w:w="1558" w:type="dxa"/>
            <w:vMerge/>
            <w:vAlign w:val="center"/>
          </w:tcPr>
          <w:p/>
        </w:tc>
        <w:tc>
          <w:tcPr>
            <w:tcW w:w="5105" w:type="dxa"/>
          </w:tcPr>
          <w:p>
            <w:pPr>
              <w:spacing w:line="360" w:lineRule="exact"/>
              <w:rPr>
                <w:rFonts w:hint="eastAsia"/>
                <w:sz w:val="24"/>
              </w:rPr>
            </w:pPr>
            <w:r>
              <w:rPr>
                <w:rFonts w:hint="eastAsia"/>
                <w:sz w:val="24"/>
              </w:rPr>
              <w:t>16．严格落实网络教学作为思想政治理论课辅助手段，不得挤占课堂教学时数的要求。</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p>
        </w:tc>
      </w:tr>
      <w:tr>
        <w:tc>
          <w:tcPr>
            <w:tcW w:w="1558" w:type="dxa"/>
            <w:vMerge/>
            <w:vAlign w:val="center"/>
          </w:tcPr>
          <w:p/>
        </w:tc>
        <w:tc>
          <w:tcPr>
            <w:tcW w:w="5105" w:type="dxa"/>
          </w:tcPr>
          <w:p>
            <w:pPr>
              <w:spacing w:line="360" w:lineRule="exact"/>
              <w:rPr>
                <w:rFonts w:hint="eastAsia"/>
                <w:sz w:val="24"/>
              </w:rPr>
            </w:pPr>
            <w:r>
              <w:rPr>
                <w:rFonts w:hint="eastAsia"/>
                <w:sz w:val="24"/>
              </w:rPr>
              <w:t>﹡17．对新生开设心理健康教育公共必修课，原则上应设置2个学分、32-36个学时。</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r>
              <w:rPr>
                <w:sz w:val="24"/>
              </w:rPr>
              <w:t>教务处、学工部</w:t>
            </w:r>
          </w:p>
        </w:tc>
      </w:tr>
      <w:tr>
        <w:tc>
          <w:tcPr>
            <w:tcW w:w="1558" w:type="dxa"/>
            <w:vMerge/>
            <w:vAlign w:val="center"/>
          </w:tcPr>
          <w:p/>
        </w:tc>
        <w:tc>
          <w:tcPr>
            <w:tcW w:w="5105" w:type="dxa"/>
          </w:tcPr>
          <w:p>
            <w:pPr>
              <w:spacing w:line="360" w:lineRule="exact"/>
              <w:rPr>
                <w:rFonts w:hint="eastAsia"/>
                <w:sz w:val="24"/>
              </w:rPr>
            </w:pPr>
            <w:r>
              <w:rPr>
                <w:rFonts w:hint="eastAsia"/>
                <w:sz w:val="24"/>
              </w:rPr>
              <w:t>18．健全心理危机预防和快速反应机制，建立学校、院系、班级、宿舍“四级”预警防控体系，完善心理危机干预工作预案，做好对心理危机学时的跟踪服务。</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p>
        </w:tc>
      </w:tr>
      <w:tr>
        <w:tc>
          <w:tcPr>
            <w:tcW w:w="1368" w:type="dxa"/>
            <w:vMerge w:val="restart"/>
            <w:vAlign w:val="center"/>
          </w:tcPr>
          <w:p>
            <w:pPr>
              <w:spacing w:line="360" w:lineRule="exact"/>
              <w:rPr>
                <w:rFonts w:hint="eastAsia"/>
                <w:sz w:val="24"/>
              </w:rPr>
            </w:pPr>
            <w:r>
              <w:rPr>
                <w:rFonts w:hint="eastAsia"/>
                <w:sz w:val="24"/>
              </w:rPr>
              <w:t>三、加强教师队伍和专门力量建设</w:t>
            </w:r>
          </w:p>
        </w:tc>
        <w:tc>
          <w:tcPr>
            <w:tcW w:w="5105" w:type="dxa"/>
          </w:tcPr>
          <w:p>
            <w:pPr>
              <w:spacing w:line="360" w:lineRule="exact"/>
              <w:rPr>
                <w:rFonts w:hint="eastAsia"/>
                <w:sz w:val="24"/>
              </w:rPr>
            </w:pPr>
            <w:r>
              <w:rPr>
                <w:rFonts w:hint="eastAsia"/>
                <w:sz w:val="24"/>
              </w:rPr>
              <w:t>19．以院（系）为单位，健全教师政治理论学习制度，教师参加政治理论学习纳入继续教育学分。</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p>
        </w:tc>
      </w:tr>
      <w:tr>
        <w:tc>
          <w:tcPr>
            <w:tcW w:w="1558" w:type="dxa"/>
            <w:vMerge/>
            <w:vAlign w:val="center"/>
          </w:tcPr>
          <w:p/>
        </w:tc>
        <w:tc>
          <w:tcPr>
            <w:tcW w:w="5105" w:type="dxa"/>
          </w:tcPr>
          <w:p>
            <w:pPr>
              <w:spacing w:line="360" w:lineRule="exact"/>
              <w:rPr>
                <w:rFonts w:hint="eastAsia"/>
                <w:sz w:val="24"/>
              </w:rPr>
            </w:pPr>
            <w:r>
              <w:rPr>
                <w:rFonts w:hint="eastAsia"/>
                <w:sz w:val="24"/>
              </w:rPr>
              <w:t>20．完善外籍教师和海外人才引进使用管理办法。</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p>
        </w:tc>
      </w:tr>
      <w:tr>
        <w:tc>
          <w:tcPr>
            <w:tcW w:w="1558" w:type="dxa"/>
            <w:vMerge/>
            <w:vAlign w:val="center"/>
          </w:tcPr>
          <w:p/>
        </w:tc>
        <w:tc>
          <w:tcPr>
            <w:tcW w:w="5105" w:type="dxa"/>
          </w:tcPr>
          <w:p>
            <w:pPr>
              <w:spacing w:line="360" w:lineRule="exact"/>
              <w:rPr>
                <w:rFonts w:hint="eastAsia"/>
                <w:sz w:val="24"/>
              </w:rPr>
            </w:pPr>
            <w:r>
              <w:rPr>
                <w:rFonts w:hint="eastAsia"/>
                <w:sz w:val="24"/>
              </w:rPr>
              <w:t>﹡21．完善教师评聘考核体系，在教师年度考核、职务（职称）评聘、评优奖励中，把思想政治表现作为首要标准。</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r>
              <w:rPr>
                <w:sz w:val="24"/>
              </w:rPr>
              <w:t>人事处</w:t>
            </w:r>
          </w:p>
        </w:tc>
      </w:tr>
      <w:tr>
        <w:tc>
          <w:tcPr>
            <w:tcW w:w="1558" w:type="dxa"/>
            <w:vMerge/>
            <w:vAlign w:val="center"/>
          </w:tcPr>
          <w:p/>
        </w:tc>
        <w:tc>
          <w:tcPr>
            <w:tcW w:w="5105" w:type="dxa"/>
          </w:tcPr>
          <w:p>
            <w:pPr>
              <w:spacing w:line="360" w:lineRule="exact"/>
              <w:rPr>
                <w:rFonts w:hint="eastAsia"/>
                <w:sz w:val="24"/>
              </w:rPr>
            </w:pPr>
            <w:r>
              <w:rPr>
                <w:rFonts w:hint="eastAsia"/>
                <w:sz w:val="24"/>
              </w:rPr>
              <w:t>﹡22．专职思想政治工作人员和党务工作人员不低于全校师生人数的1%。</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r>
              <w:rPr>
                <w:sz w:val="24"/>
              </w:rPr>
              <w:t>组织部、人事处</w:t>
            </w:r>
          </w:p>
        </w:tc>
      </w:tr>
      <w:tr>
        <w:tc>
          <w:tcPr>
            <w:tcW w:w="1558" w:type="dxa"/>
            <w:vMerge/>
            <w:vAlign w:val="center"/>
          </w:tcPr>
          <w:p/>
        </w:tc>
        <w:tc>
          <w:tcPr>
            <w:tcW w:w="5105" w:type="dxa"/>
          </w:tcPr>
          <w:p>
            <w:pPr>
              <w:spacing w:line="360" w:lineRule="exact"/>
              <w:rPr>
                <w:rFonts w:hint="eastAsia"/>
                <w:sz w:val="24"/>
              </w:rPr>
            </w:pPr>
            <w:r>
              <w:rPr>
                <w:rFonts w:hint="eastAsia"/>
                <w:sz w:val="24"/>
              </w:rPr>
              <w:t>﹡23．每个院（系）至少配备1至2名专职组织员。</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r>
              <w:rPr>
                <w:sz w:val="24"/>
              </w:rPr>
              <w:t>组织部</w:t>
            </w:r>
          </w:p>
        </w:tc>
      </w:tr>
      <w:tr>
        <w:tc>
          <w:tcPr>
            <w:tcW w:w="1558" w:type="dxa"/>
            <w:vMerge/>
            <w:vAlign w:val="center"/>
          </w:tcPr>
          <w:p/>
        </w:tc>
        <w:tc>
          <w:tcPr>
            <w:tcW w:w="5105" w:type="dxa"/>
          </w:tcPr>
          <w:p>
            <w:pPr>
              <w:spacing w:line="360" w:lineRule="exact"/>
              <w:rPr>
                <w:rFonts w:hint="eastAsia"/>
                <w:sz w:val="24"/>
              </w:rPr>
            </w:pPr>
            <w:r>
              <w:rPr>
                <w:rFonts w:hint="eastAsia"/>
                <w:sz w:val="24"/>
              </w:rPr>
              <w:t>﹡24．按师生比不低于1︰200的比例设置专职辅导员岗位。</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r>
              <w:rPr>
                <w:sz w:val="24"/>
              </w:rPr>
              <w:t>人事处、学工部</w:t>
            </w:r>
          </w:p>
        </w:tc>
      </w:tr>
      <w:tr>
        <w:tc>
          <w:tcPr>
            <w:tcW w:w="1558" w:type="dxa"/>
            <w:vMerge/>
            <w:vAlign w:val="center"/>
          </w:tcPr>
          <w:p/>
        </w:tc>
        <w:tc>
          <w:tcPr>
            <w:tcW w:w="5105" w:type="dxa"/>
          </w:tcPr>
          <w:p>
            <w:pPr>
              <w:spacing w:line="360" w:lineRule="exact"/>
              <w:rPr>
                <w:rFonts w:hint="eastAsia"/>
                <w:sz w:val="24"/>
              </w:rPr>
            </w:pPr>
            <w:r>
              <w:rPr>
                <w:rFonts w:hint="eastAsia"/>
                <w:sz w:val="24"/>
              </w:rPr>
              <w:t>﹡25．按师生比不低于1︰350的比例设置专职思想政治理论课教师岗位。</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r>
              <w:rPr>
                <w:sz w:val="24"/>
              </w:rPr>
              <w:t>人事处、马克思主义学院</w:t>
            </w:r>
          </w:p>
        </w:tc>
      </w:tr>
      <w:tr>
        <w:tc>
          <w:tcPr>
            <w:tcW w:w="1558" w:type="dxa"/>
            <w:vMerge/>
            <w:vAlign w:val="center"/>
          </w:tcPr>
          <w:p/>
        </w:tc>
        <w:tc>
          <w:tcPr>
            <w:tcW w:w="5105" w:type="dxa"/>
          </w:tcPr>
          <w:p>
            <w:pPr>
              <w:spacing w:line="360" w:lineRule="exact"/>
              <w:rPr>
                <w:rFonts w:hint="eastAsia"/>
                <w:sz w:val="24"/>
              </w:rPr>
            </w:pPr>
            <w:r>
              <w:rPr>
                <w:rFonts w:hint="eastAsia"/>
                <w:sz w:val="24"/>
              </w:rPr>
              <w:t>﹡26．按照师生比不低于1:4000配备心理健康教育专职教师，每校至少配备2名。</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r>
              <w:rPr>
                <w:sz w:val="24"/>
              </w:rPr>
              <w:t>人事处、学工部</w:t>
            </w:r>
          </w:p>
        </w:tc>
      </w:tr>
      <w:tr>
        <w:tc>
          <w:tcPr>
            <w:tcW w:w="1558" w:type="dxa"/>
            <w:vMerge/>
            <w:vAlign w:val="center"/>
          </w:tcPr>
          <w:p/>
        </w:tc>
        <w:tc>
          <w:tcPr>
            <w:tcW w:w="5105" w:type="dxa"/>
          </w:tcPr>
          <w:p>
            <w:pPr>
              <w:spacing w:line="360" w:lineRule="exact"/>
              <w:rPr>
                <w:rFonts w:hint="eastAsia"/>
                <w:sz w:val="24"/>
              </w:rPr>
            </w:pPr>
            <w:r>
              <w:rPr>
                <w:rFonts w:hint="eastAsia"/>
                <w:sz w:val="24"/>
              </w:rPr>
              <w:t>﹡27．青年教师晋升高一级专业技术职务（职称），须有一年担任辅导员或班主任工作经历并考核合格。</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r>
              <w:rPr>
                <w:sz w:val="24"/>
              </w:rPr>
              <w:t>人事处、学工部</w:t>
            </w:r>
          </w:p>
        </w:tc>
      </w:tr>
      <w:tr>
        <w:tc>
          <w:tcPr>
            <w:tcW w:w="1558" w:type="dxa"/>
            <w:vMerge/>
            <w:vAlign w:val="center"/>
          </w:tcPr>
          <w:p/>
        </w:tc>
        <w:tc>
          <w:tcPr>
            <w:tcW w:w="5105" w:type="dxa"/>
          </w:tcPr>
          <w:p>
            <w:pPr>
              <w:spacing w:line="360" w:lineRule="exact"/>
              <w:rPr>
                <w:rFonts w:hint="eastAsia"/>
                <w:sz w:val="24"/>
              </w:rPr>
            </w:pPr>
            <w:r>
              <w:rPr>
                <w:rFonts w:hint="eastAsia"/>
                <w:sz w:val="24"/>
              </w:rPr>
              <w:t>28．高校思想政治工作队伍和党务工作队伍职务职级实行“双线”晋升，职务（职称）评审单列计划、单设标准、单独评审，并实行评聘合一。</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p>
        </w:tc>
      </w:tr>
      <w:tr>
        <w:tc>
          <w:tcPr>
            <w:tcW w:w="1368" w:type="dxa"/>
            <w:vMerge w:val="restart"/>
            <w:vAlign w:val="center"/>
          </w:tcPr>
          <w:p>
            <w:pPr>
              <w:spacing w:line="360" w:lineRule="exact"/>
              <w:rPr>
                <w:rFonts w:hint="eastAsia"/>
                <w:sz w:val="24"/>
              </w:rPr>
            </w:pPr>
            <w:r>
              <w:rPr>
                <w:rFonts w:hint="eastAsia"/>
                <w:sz w:val="24"/>
              </w:rPr>
              <w:t>四、推进高校思想政治工作改革创新</w:t>
            </w:r>
          </w:p>
        </w:tc>
        <w:tc>
          <w:tcPr>
            <w:tcW w:w="5105" w:type="dxa"/>
          </w:tcPr>
          <w:p>
            <w:pPr>
              <w:spacing w:line="360" w:lineRule="exact"/>
              <w:rPr>
                <w:rFonts w:hint="eastAsia"/>
                <w:sz w:val="24"/>
              </w:rPr>
            </w:pPr>
            <w:r>
              <w:rPr>
                <w:rFonts w:hint="eastAsia"/>
                <w:sz w:val="24"/>
              </w:rPr>
              <w:t>29．鼓励高校落实广东高校“校地结对 实践育人”计划，与粤东西北县（市、区）以及广东对口援建的新疆西藏等地共建实践育人基地。</w:t>
            </w:r>
          </w:p>
        </w:tc>
        <w:tc>
          <w:tcPr>
            <w:tcW w:w="2185" w:type="dxa"/>
            <w:vAlign w:val="center"/>
          </w:tcPr>
          <w:p>
            <w:pPr>
              <w:spacing w:line="360" w:lineRule="exact"/>
              <w:rPr>
                <w:rFonts w:cs="宋体" w:hint="eastAsia"/>
                <w:sz w:val="24"/>
              </w:rPr>
            </w:pPr>
          </w:p>
        </w:tc>
        <w:tc>
          <w:tcPr>
            <w:tcW w:w="1911" w:type="dxa"/>
          </w:tcPr>
          <w:p>
            <w:pPr>
              <w:spacing w:line="360" w:lineRule="exact"/>
              <w:rPr>
                <w:rFonts w:cs="宋体" w:hint="eastAsia"/>
                <w:sz w:val="24"/>
              </w:rPr>
            </w:pPr>
          </w:p>
        </w:tc>
        <w:tc>
          <w:tcPr>
            <w:tcW w:w="1658" w:type="dxa"/>
          </w:tcPr>
          <w:p>
            <w:pPr>
              <w:spacing w:line="360" w:lineRule="exact"/>
              <w:rPr>
                <w:rFonts w:cs="宋体" w:hint="eastAsia"/>
                <w:sz w:val="24"/>
              </w:rPr>
            </w:pPr>
          </w:p>
        </w:tc>
        <w:tc>
          <w:tcPr>
            <w:tcW w:w="1946" w:type="dxa"/>
          </w:tcPr>
          <w:p>
            <w:pPr>
              <w:spacing w:line="360" w:lineRule="exact"/>
              <w:rPr>
                <w:rFonts w:cs="宋体"/>
                <w:sz w:val="24"/>
              </w:rPr>
            </w:pPr>
          </w:p>
        </w:tc>
      </w:tr>
      <w:tr>
        <w:tc>
          <w:tcPr>
            <w:tcW w:w="1558" w:type="dxa"/>
            <w:vMerge/>
            <w:vAlign w:val="center"/>
          </w:tcPr>
          <w:p/>
        </w:tc>
        <w:tc>
          <w:tcPr>
            <w:tcW w:w="5105" w:type="dxa"/>
          </w:tcPr>
          <w:p>
            <w:pPr>
              <w:spacing w:line="360" w:lineRule="exact"/>
              <w:rPr>
                <w:rFonts w:hint="eastAsia"/>
                <w:sz w:val="24"/>
              </w:rPr>
            </w:pPr>
            <w:r>
              <w:rPr>
                <w:rFonts w:hint="eastAsia"/>
                <w:sz w:val="24"/>
              </w:rPr>
              <w:t>30．全面推进高校“易班”建设。</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p>
        </w:tc>
      </w:tr>
      <w:tr>
        <w:tc>
          <w:tcPr>
            <w:tcW w:w="1558" w:type="dxa"/>
            <w:vMerge/>
            <w:vAlign w:val="center"/>
          </w:tcPr>
          <w:p/>
        </w:tc>
        <w:tc>
          <w:tcPr>
            <w:tcW w:w="5105" w:type="dxa"/>
          </w:tcPr>
          <w:p>
            <w:pPr>
              <w:spacing w:line="360" w:lineRule="exact"/>
              <w:rPr>
                <w:rFonts w:hint="eastAsia"/>
                <w:sz w:val="24"/>
              </w:rPr>
            </w:pPr>
            <w:r>
              <w:rPr>
                <w:rFonts w:hint="eastAsia"/>
                <w:sz w:val="24"/>
              </w:rPr>
              <w:t>31．将优秀网络文化成果纳入高校科研成果统计、职务（职称）评聘和评奖评优范围。</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p>
        </w:tc>
      </w:tr>
      <w:tr>
        <w:tc>
          <w:tcPr>
            <w:tcW w:w="1558" w:type="dxa"/>
            <w:vMerge/>
            <w:vAlign w:val="center"/>
          </w:tcPr>
          <w:p/>
        </w:tc>
        <w:tc>
          <w:tcPr>
            <w:tcW w:w="5105" w:type="dxa"/>
          </w:tcPr>
          <w:p>
            <w:pPr>
              <w:spacing w:line="360" w:lineRule="exact"/>
              <w:rPr>
                <w:rFonts w:hint="eastAsia"/>
                <w:sz w:val="24"/>
              </w:rPr>
            </w:pPr>
            <w:r>
              <w:rPr>
                <w:rFonts w:hint="eastAsia"/>
                <w:sz w:val="24"/>
              </w:rPr>
              <w:t>32．系统设计实践育人教育教学体系，分类制定实践教学标准，提高实践教学比重，组织学生参加社会实践活动。</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p>
        </w:tc>
      </w:tr>
      <w:tr>
        <w:tc>
          <w:tcPr>
            <w:tcW w:w="1558" w:type="dxa"/>
            <w:vMerge/>
            <w:vAlign w:val="center"/>
          </w:tcPr>
          <w:p/>
        </w:tc>
        <w:tc>
          <w:tcPr>
            <w:tcW w:w="5105" w:type="dxa"/>
          </w:tcPr>
          <w:p>
            <w:pPr>
              <w:spacing w:line="360" w:lineRule="exact"/>
              <w:rPr>
                <w:rFonts w:hint="eastAsia"/>
                <w:sz w:val="24"/>
              </w:rPr>
            </w:pPr>
            <w:r>
              <w:rPr>
                <w:rFonts w:hint="eastAsia"/>
                <w:sz w:val="24"/>
              </w:rPr>
              <w:t>33．鼓励根据实际安排师生社会实践专项经费。</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p>
        </w:tc>
      </w:tr>
      <w:tr>
        <w:tc>
          <w:tcPr>
            <w:tcW w:w="1368" w:type="dxa"/>
            <w:vMerge w:val="restart"/>
            <w:vAlign w:val="center"/>
          </w:tcPr>
          <w:p>
            <w:pPr>
              <w:spacing w:line="360" w:lineRule="exact"/>
              <w:rPr>
                <w:rFonts w:hint="eastAsia"/>
                <w:sz w:val="24"/>
              </w:rPr>
            </w:pPr>
            <w:r>
              <w:rPr>
                <w:rFonts w:hint="eastAsia"/>
                <w:sz w:val="24"/>
              </w:rPr>
              <w:t>五、加强和改善党对高校的领导</w:t>
            </w:r>
          </w:p>
        </w:tc>
        <w:tc>
          <w:tcPr>
            <w:tcW w:w="5105" w:type="dxa"/>
          </w:tcPr>
          <w:p>
            <w:pPr>
              <w:spacing w:line="360" w:lineRule="exact"/>
              <w:rPr>
                <w:rFonts w:hint="eastAsia"/>
                <w:sz w:val="24"/>
              </w:rPr>
            </w:pPr>
            <w:r>
              <w:rPr>
                <w:rFonts w:hint="eastAsia"/>
                <w:sz w:val="24"/>
              </w:rPr>
              <w:t>34．落实意识形态工作责任制，每年初制定相关工作方案，制定并及时修订相关管理制度。</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p>
        </w:tc>
      </w:tr>
      <w:tr>
        <w:tc>
          <w:tcPr>
            <w:tcW w:w="1558" w:type="dxa"/>
            <w:vMerge/>
          </w:tcPr>
          <w:p/>
        </w:tc>
        <w:tc>
          <w:tcPr>
            <w:tcW w:w="5105" w:type="dxa"/>
          </w:tcPr>
          <w:p>
            <w:pPr>
              <w:spacing w:line="360" w:lineRule="exact"/>
              <w:rPr>
                <w:rFonts w:hint="eastAsia"/>
                <w:sz w:val="24"/>
              </w:rPr>
            </w:pPr>
            <w:r>
              <w:rPr>
                <w:rFonts w:hint="eastAsia"/>
                <w:sz w:val="24"/>
              </w:rPr>
              <w:t>﹡35．层层签订相关责任书，专门制定院系意识形态职责管理与责任追究制度，推动院系落实意识形态工作责任。</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r>
              <w:rPr>
                <w:sz w:val="24"/>
              </w:rPr>
              <w:t>宣传部</w:t>
            </w:r>
          </w:p>
        </w:tc>
      </w:tr>
      <w:tr>
        <w:trPr>
          <w:trHeight w:val="63"/>
        </w:trPr>
        <w:tc>
          <w:tcPr>
            <w:tcW w:w="1558" w:type="dxa"/>
            <w:vMerge/>
          </w:tcPr>
          <w:p/>
        </w:tc>
        <w:tc>
          <w:tcPr>
            <w:tcW w:w="5105" w:type="dxa"/>
          </w:tcPr>
          <w:p>
            <w:pPr>
              <w:spacing w:line="360" w:lineRule="exact"/>
              <w:rPr>
                <w:rFonts w:hint="eastAsia"/>
                <w:sz w:val="24"/>
              </w:rPr>
            </w:pPr>
            <w:r>
              <w:rPr>
                <w:rFonts w:hint="eastAsia"/>
                <w:sz w:val="24"/>
              </w:rPr>
              <w:t>36．加强对课堂教学和讲座论坛、校园媒体等各类思想文化阵地的建设管理，加强对高校学生社团的领导和管理。</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p>
        </w:tc>
      </w:tr>
      <w:tr>
        <w:tc>
          <w:tcPr>
            <w:tcW w:w="1558" w:type="dxa"/>
            <w:vMerge/>
          </w:tcPr>
          <w:p/>
        </w:tc>
        <w:tc>
          <w:tcPr>
            <w:tcW w:w="5105" w:type="dxa"/>
          </w:tcPr>
          <w:p>
            <w:pPr>
              <w:spacing w:line="360" w:lineRule="exact"/>
              <w:rPr>
                <w:rFonts w:hint="eastAsia"/>
                <w:sz w:val="24"/>
              </w:rPr>
            </w:pPr>
            <w:r>
              <w:rPr>
                <w:rFonts w:hint="eastAsia"/>
                <w:sz w:val="24"/>
              </w:rPr>
              <w:t>37．组织实施广东高校思想政治工作质量提升工程，一体化构建课程、科研、实践、文化、网络、心理、管理、服务、资助、组织等“十大育人体系”，更加注重学校、社会、家庭协同育人，形成全员全过程全方位“三全”育人的“大思政”工作格局。</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p>
        </w:tc>
      </w:tr>
      <w:tr>
        <w:tc>
          <w:tcPr>
            <w:tcW w:w="1558" w:type="dxa"/>
            <w:vMerge/>
          </w:tcPr>
          <w:p/>
        </w:tc>
        <w:tc>
          <w:tcPr>
            <w:tcW w:w="5105" w:type="dxa"/>
          </w:tcPr>
          <w:p>
            <w:pPr>
              <w:spacing w:line="360" w:lineRule="exact"/>
              <w:rPr>
                <w:rFonts w:hint="eastAsia"/>
                <w:sz w:val="24"/>
              </w:rPr>
            </w:pPr>
            <w:r>
              <w:rPr>
                <w:rFonts w:hint="eastAsia"/>
                <w:sz w:val="24"/>
              </w:rPr>
              <w:t>38．实行校、院（系）党组织书记抓思想政治工作和党的建设述职评议考核制度，把意识形态工作纳入述职评议内容。</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p>
        </w:tc>
      </w:tr>
      <w:tr>
        <w:tc>
          <w:tcPr>
            <w:tcW w:w="1558" w:type="dxa"/>
            <w:vMerge/>
          </w:tcPr>
          <w:p/>
        </w:tc>
        <w:tc>
          <w:tcPr>
            <w:tcW w:w="5105" w:type="dxa"/>
          </w:tcPr>
          <w:p>
            <w:pPr>
              <w:spacing w:line="360" w:lineRule="exact"/>
              <w:rPr>
                <w:rFonts w:hint="eastAsia"/>
                <w:sz w:val="24"/>
              </w:rPr>
            </w:pPr>
            <w:r>
              <w:rPr>
                <w:rFonts w:hint="eastAsia"/>
                <w:sz w:val="24"/>
              </w:rPr>
              <w:t>39．鼓励有条件的高校成立党委教师工作部。</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p>
        </w:tc>
      </w:tr>
      <w:tr>
        <w:tc>
          <w:tcPr>
            <w:tcW w:w="1558" w:type="dxa"/>
            <w:vMerge/>
          </w:tcPr>
          <w:p/>
        </w:tc>
        <w:tc>
          <w:tcPr>
            <w:tcW w:w="5105" w:type="dxa"/>
          </w:tcPr>
          <w:p>
            <w:pPr>
              <w:spacing w:line="360" w:lineRule="exact"/>
              <w:rPr>
                <w:rFonts w:hint="eastAsia"/>
                <w:sz w:val="24"/>
              </w:rPr>
            </w:pPr>
            <w:r>
              <w:rPr>
                <w:rFonts w:hint="eastAsia"/>
                <w:sz w:val="24"/>
              </w:rPr>
              <w:t>﹡40．校长是中共党员的同时任党委副书记。</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r>
              <w:rPr>
                <w:sz w:val="24"/>
              </w:rPr>
              <w:t>组织部</w:t>
            </w:r>
          </w:p>
        </w:tc>
      </w:tr>
      <w:tr>
        <w:tc>
          <w:tcPr>
            <w:tcW w:w="1558" w:type="dxa"/>
            <w:vMerge/>
          </w:tcPr>
          <w:p/>
        </w:tc>
        <w:tc>
          <w:tcPr>
            <w:tcW w:w="5105" w:type="dxa"/>
          </w:tcPr>
          <w:p>
            <w:pPr>
              <w:spacing w:line="360" w:lineRule="exact"/>
              <w:rPr>
                <w:rFonts w:hint="eastAsia"/>
                <w:sz w:val="24"/>
              </w:rPr>
            </w:pPr>
            <w:r>
              <w:rPr>
                <w:rFonts w:hint="eastAsia"/>
                <w:sz w:val="24"/>
              </w:rPr>
              <w:t>﹡41．纪委书记、组织部长、宣传部长、统战部长担任党委常委或不设常委会的党委成员。</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r>
              <w:rPr>
                <w:sz w:val="24"/>
              </w:rPr>
              <w:t>组织部</w:t>
            </w:r>
          </w:p>
        </w:tc>
      </w:tr>
      <w:tr>
        <w:tc>
          <w:tcPr>
            <w:tcW w:w="1558" w:type="dxa"/>
            <w:vMerge/>
          </w:tcPr>
          <w:p/>
        </w:tc>
        <w:tc>
          <w:tcPr>
            <w:tcW w:w="5105" w:type="dxa"/>
          </w:tcPr>
          <w:p>
            <w:pPr>
              <w:spacing w:line="360" w:lineRule="exact"/>
              <w:rPr>
                <w:rFonts w:hint="eastAsia"/>
                <w:sz w:val="24"/>
              </w:rPr>
            </w:pPr>
            <w:r>
              <w:rPr>
                <w:rFonts w:hint="eastAsia"/>
                <w:sz w:val="24"/>
              </w:rPr>
              <w:t>42．探索在民办高校中实施党组织书记和党员校长“双向进入、交叉任职”制度。</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p>
        </w:tc>
      </w:tr>
      <w:tr>
        <w:tc>
          <w:tcPr>
            <w:tcW w:w="1558" w:type="dxa"/>
            <w:vMerge/>
          </w:tcPr>
          <w:p/>
        </w:tc>
        <w:tc>
          <w:tcPr>
            <w:tcW w:w="5105" w:type="dxa"/>
          </w:tcPr>
          <w:p>
            <w:pPr>
              <w:spacing w:line="360" w:lineRule="exact"/>
              <w:rPr>
                <w:rFonts w:hint="eastAsia"/>
                <w:sz w:val="24"/>
              </w:rPr>
            </w:pPr>
            <w:r>
              <w:rPr>
                <w:rFonts w:hint="eastAsia"/>
                <w:sz w:val="24"/>
              </w:rPr>
              <w:t>43．进一步发挥院（系）党委（党总支）政治核心作用，履行政治责任，保证监督党的路线方针政策及上级党组织决定的贯彻执行，把握好教学科研管理等重大事项中的政治原则、政治立场、政治方向，在干部队伍、教师队伍建设中发挥主导作用，把好政治关。</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p>
        </w:tc>
      </w:tr>
      <w:tr>
        <w:tc>
          <w:tcPr>
            <w:tcW w:w="1558" w:type="dxa"/>
            <w:vMerge/>
          </w:tcPr>
          <w:p/>
        </w:tc>
        <w:tc>
          <w:tcPr>
            <w:tcW w:w="5105" w:type="dxa"/>
          </w:tcPr>
          <w:p>
            <w:pPr>
              <w:spacing w:line="360" w:lineRule="exact"/>
              <w:rPr>
                <w:rFonts w:hint="eastAsia"/>
                <w:sz w:val="24"/>
              </w:rPr>
            </w:pPr>
            <w:r>
              <w:rPr>
                <w:rFonts w:hint="eastAsia"/>
                <w:sz w:val="24"/>
              </w:rPr>
              <w:t>﹡44．推行院（系）党政领导班子成员交叉任职，党员院长（系主任）一般应同时任党委（党总支）副书记或委员，党员副院长（系副主任）一般应进入党委（党总支）领导班子。</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r>
              <w:rPr>
                <w:sz w:val="24"/>
              </w:rPr>
              <w:t>组织部</w:t>
            </w:r>
          </w:p>
        </w:tc>
      </w:tr>
      <w:tr>
        <w:tc>
          <w:tcPr>
            <w:tcW w:w="1558" w:type="dxa"/>
            <w:vMerge/>
          </w:tcPr>
          <w:p/>
        </w:tc>
        <w:tc>
          <w:tcPr>
            <w:tcW w:w="5105" w:type="dxa"/>
          </w:tcPr>
          <w:p>
            <w:pPr>
              <w:spacing w:line="360" w:lineRule="exact"/>
              <w:rPr>
                <w:rFonts w:hint="eastAsia"/>
                <w:sz w:val="24"/>
              </w:rPr>
            </w:pPr>
            <w:r>
              <w:rPr>
                <w:rFonts w:hint="eastAsia"/>
                <w:sz w:val="24"/>
              </w:rPr>
              <w:t>45．认真执行民主集中制原则，通过院（系）党政联席会议讨论和决定教师选聘、职称评聘、评优评奖等重要事项，进一步明确党委（党总支）书记、院长（系主任）工作职责，规范完善院（系）党委（党总支）会议制度，健全院（系）集体领导、党政分工合作、协调运行的工作机制，提升班子集体功能和议事决策水平。</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p>
        </w:tc>
      </w:tr>
      <w:tr>
        <w:tc>
          <w:tcPr>
            <w:tcW w:w="1558" w:type="dxa"/>
            <w:vMerge/>
          </w:tcPr>
          <w:p/>
        </w:tc>
        <w:tc>
          <w:tcPr>
            <w:tcW w:w="5105" w:type="dxa"/>
          </w:tcPr>
          <w:p>
            <w:pPr>
              <w:spacing w:line="360" w:lineRule="exact"/>
              <w:rPr>
                <w:rFonts w:hint="eastAsia"/>
                <w:sz w:val="24"/>
              </w:rPr>
            </w:pPr>
            <w:r>
              <w:rPr>
                <w:rFonts w:hint="eastAsia"/>
                <w:sz w:val="24"/>
              </w:rPr>
              <w:t>46．民办高校、中外合作办学高校建立健全党组织，推进党组织班子成员进入学校决策层和管理层。</w:t>
            </w:r>
          </w:p>
        </w:tc>
        <w:tc>
          <w:tcPr>
            <w:tcW w:w="2185" w:type="dxa"/>
          </w:tcPr>
          <w:p>
            <w:pPr>
              <w:spacing w:line="360" w:lineRule="exact"/>
              <w:rPr>
                <w:rFonts w:hint="eastAsia"/>
                <w:sz w:val="24"/>
              </w:rPr>
            </w:pPr>
          </w:p>
        </w:tc>
        <w:tc>
          <w:tcPr>
            <w:tcW w:w="1911" w:type="dxa"/>
          </w:tcPr>
          <w:p>
            <w:pPr>
              <w:spacing w:line="360" w:lineRule="exact"/>
              <w:rPr>
                <w:rFonts w:hint="eastAsia"/>
                <w:sz w:val="24"/>
              </w:rPr>
            </w:pPr>
          </w:p>
        </w:tc>
        <w:tc>
          <w:tcPr>
            <w:tcW w:w="1658" w:type="dxa"/>
          </w:tcPr>
          <w:p>
            <w:pPr>
              <w:spacing w:line="360" w:lineRule="exact"/>
              <w:rPr>
                <w:rFonts w:hint="eastAsia"/>
                <w:sz w:val="24"/>
              </w:rPr>
            </w:pPr>
          </w:p>
        </w:tc>
        <w:tc>
          <w:tcPr>
            <w:tcW w:w="1946" w:type="dxa"/>
          </w:tcPr>
          <w:p>
            <w:pPr>
              <w:spacing w:line="360" w:lineRule="exact"/>
              <w:rPr>
                <w:sz w:val="24"/>
              </w:rPr>
            </w:pPr>
          </w:p>
        </w:tc>
      </w:tr>
    </w:tbl>
    <w:p>
      <w:pPr>
        <w:spacing w:line="400" w:lineRule="exact"/>
        <w:ind w:firstLineChars="200" w:firstLine="560"/>
        <w:rPr>
          <w:color w:val="000000"/>
          <w:sz w:val="28"/>
          <w:szCs w:val="28"/>
        </w:rPr>
      </w:pPr>
      <w:r>
        <w:rPr>
          <w:rFonts w:hint="eastAsia"/>
          <w:sz w:val="28"/>
          <w:szCs w:val="28"/>
        </w:rPr>
        <w:t>注：</w:t>
      </w:r>
      <w:r>
        <w:rPr>
          <w:sz w:val="28"/>
          <w:szCs w:val="28"/>
        </w:rPr>
        <w:t>1</w:t>
      </w:r>
      <w:r>
        <w:rPr>
          <w:rFonts w:hint="eastAsia"/>
          <w:color w:val="000000"/>
          <w:sz w:val="28"/>
          <w:szCs w:val="28"/>
        </w:rPr>
        <w:t>．</w:t>
      </w:r>
      <w:r>
        <w:rPr>
          <w:color w:val="000000"/>
          <w:sz w:val="28"/>
          <w:szCs w:val="28"/>
        </w:rPr>
        <w:t>“</w:t>
      </w:r>
      <w:r>
        <w:rPr>
          <w:rFonts w:hint="eastAsia"/>
          <w:color w:val="000000"/>
          <w:sz w:val="28"/>
          <w:szCs w:val="28"/>
        </w:rPr>
        <w:t>主要进展情况</w:t>
      </w:r>
      <w:r>
        <w:rPr>
          <w:color w:val="000000"/>
          <w:sz w:val="28"/>
          <w:szCs w:val="28"/>
        </w:rPr>
        <w:t>”“</w:t>
      </w:r>
      <w:r>
        <w:rPr>
          <w:rFonts w:hint="eastAsia"/>
          <w:color w:val="000000"/>
          <w:sz w:val="28"/>
          <w:szCs w:val="28"/>
        </w:rPr>
        <w:t>存在问题和不足</w:t>
      </w:r>
      <w:r>
        <w:rPr>
          <w:color w:val="000000"/>
          <w:sz w:val="28"/>
          <w:szCs w:val="28"/>
        </w:rPr>
        <w:t>”“</w:t>
      </w:r>
      <w:r>
        <w:rPr>
          <w:rFonts w:hint="eastAsia"/>
          <w:color w:val="000000"/>
          <w:sz w:val="28"/>
          <w:szCs w:val="28"/>
        </w:rPr>
        <w:t>整改措施</w:t>
      </w:r>
      <w:r>
        <w:rPr>
          <w:color w:val="000000"/>
          <w:sz w:val="28"/>
          <w:szCs w:val="28"/>
        </w:rPr>
        <w:t>”</w:t>
      </w:r>
      <w:r>
        <w:rPr>
          <w:rFonts w:hint="eastAsia"/>
          <w:color w:val="000000"/>
          <w:sz w:val="28"/>
          <w:szCs w:val="28"/>
        </w:rPr>
        <w:t>每一栏填写都不超过</w:t>
      </w:r>
      <w:r>
        <w:rPr>
          <w:color w:val="000000"/>
          <w:sz w:val="28"/>
          <w:szCs w:val="28"/>
        </w:rPr>
        <w:t>300</w:t>
      </w:r>
      <w:r>
        <w:rPr>
          <w:rFonts w:hint="eastAsia"/>
          <w:color w:val="000000"/>
          <w:sz w:val="28"/>
          <w:szCs w:val="28"/>
        </w:rPr>
        <w:t>字。</w:t>
      </w:r>
    </w:p>
    <w:p>
      <w:pPr>
        <w:spacing w:line="400" w:lineRule="exact"/>
        <w:ind w:firstLineChars="200" w:firstLine="560"/>
        <w:rPr>
          <w:color w:val="000000"/>
          <w:sz w:val="28"/>
          <w:szCs w:val="28"/>
        </w:rPr>
      </w:pPr>
      <w:r>
        <w:rPr>
          <w:color w:val="000000"/>
          <w:sz w:val="28"/>
          <w:szCs w:val="28"/>
        </w:rPr>
        <w:t>2</w:t>
      </w:r>
      <w:r>
        <w:rPr>
          <w:rFonts w:hint="eastAsia"/>
          <w:color w:val="000000"/>
          <w:sz w:val="28"/>
          <w:szCs w:val="28"/>
        </w:rPr>
        <w:t>．带</w:t>
      </w:r>
      <w:r>
        <w:rPr>
          <w:rFonts w:hint="eastAsia"/>
          <w:sz w:val="28"/>
          <w:szCs w:val="28"/>
        </w:rPr>
        <w:t>﹡号的条目（第</w:t>
      </w:r>
      <w:r>
        <w:rPr>
          <w:sz w:val="28"/>
          <w:szCs w:val="28"/>
        </w:rPr>
        <w:t>1</w:t>
      </w:r>
      <w:r>
        <w:rPr>
          <w:rFonts w:hint="eastAsia"/>
          <w:sz w:val="28"/>
          <w:szCs w:val="28"/>
        </w:rPr>
        <w:t>、</w:t>
      </w:r>
      <w:r>
        <w:rPr>
          <w:sz w:val="28"/>
          <w:szCs w:val="28"/>
        </w:rPr>
        <w:t>8</w:t>
      </w:r>
      <w:r>
        <w:rPr>
          <w:rFonts w:hint="eastAsia"/>
          <w:sz w:val="28"/>
          <w:szCs w:val="28"/>
        </w:rPr>
        <w:t>、</w:t>
      </w:r>
      <w:r>
        <w:rPr>
          <w:sz w:val="28"/>
          <w:szCs w:val="28"/>
        </w:rPr>
        <w:t>9</w:t>
      </w:r>
      <w:r>
        <w:rPr>
          <w:rFonts w:hint="eastAsia"/>
          <w:sz w:val="28"/>
          <w:szCs w:val="28"/>
        </w:rPr>
        <w:t>、</w:t>
      </w:r>
      <w:r>
        <w:rPr>
          <w:sz w:val="28"/>
          <w:szCs w:val="28"/>
        </w:rPr>
        <w:t>10</w:t>
      </w:r>
      <w:r>
        <w:rPr>
          <w:rFonts w:hint="eastAsia"/>
          <w:sz w:val="28"/>
          <w:szCs w:val="28"/>
        </w:rPr>
        <w:t>、</w:t>
      </w:r>
      <w:r>
        <w:rPr>
          <w:sz w:val="28"/>
          <w:szCs w:val="28"/>
        </w:rPr>
        <w:t>11</w:t>
      </w:r>
      <w:r>
        <w:rPr>
          <w:rFonts w:hint="eastAsia"/>
          <w:sz w:val="28"/>
          <w:szCs w:val="28"/>
        </w:rPr>
        <w:t>、</w:t>
      </w:r>
      <w:r>
        <w:rPr>
          <w:sz w:val="28"/>
          <w:szCs w:val="28"/>
        </w:rPr>
        <w:t>12</w:t>
      </w:r>
      <w:r>
        <w:rPr>
          <w:rFonts w:hint="eastAsia"/>
          <w:sz w:val="28"/>
          <w:szCs w:val="28"/>
        </w:rPr>
        <w:t>、</w:t>
      </w:r>
      <w:r>
        <w:rPr>
          <w:sz w:val="28"/>
          <w:szCs w:val="28"/>
        </w:rPr>
        <w:t>14</w:t>
      </w:r>
      <w:r>
        <w:rPr>
          <w:rFonts w:hint="eastAsia"/>
          <w:sz w:val="28"/>
          <w:szCs w:val="28"/>
        </w:rPr>
        <w:t>、</w:t>
      </w:r>
      <w:r>
        <w:rPr>
          <w:sz w:val="28"/>
          <w:szCs w:val="28"/>
        </w:rPr>
        <w:t>17</w:t>
      </w:r>
      <w:r>
        <w:rPr>
          <w:rFonts w:hint="eastAsia"/>
          <w:sz w:val="28"/>
          <w:szCs w:val="28"/>
        </w:rPr>
        <w:t>、</w:t>
      </w:r>
      <w:r>
        <w:rPr>
          <w:sz w:val="28"/>
          <w:szCs w:val="28"/>
        </w:rPr>
        <w:t>21</w:t>
      </w:r>
      <w:r>
        <w:rPr>
          <w:rFonts w:hint="eastAsia"/>
          <w:sz w:val="28"/>
          <w:szCs w:val="28"/>
        </w:rPr>
        <w:t>、</w:t>
      </w:r>
      <w:r>
        <w:rPr>
          <w:sz w:val="28"/>
          <w:szCs w:val="28"/>
        </w:rPr>
        <w:t>22</w:t>
      </w:r>
      <w:r>
        <w:rPr>
          <w:rFonts w:hint="eastAsia"/>
          <w:sz w:val="28"/>
          <w:szCs w:val="28"/>
        </w:rPr>
        <w:t>、</w:t>
      </w:r>
      <w:r>
        <w:rPr>
          <w:sz w:val="28"/>
          <w:szCs w:val="28"/>
        </w:rPr>
        <w:t>23</w:t>
      </w:r>
      <w:r>
        <w:rPr>
          <w:rFonts w:hint="eastAsia"/>
          <w:sz w:val="28"/>
          <w:szCs w:val="28"/>
        </w:rPr>
        <w:t>、</w:t>
      </w:r>
      <w:r>
        <w:rPr>
          <w:sz w:val="28"/>
          <w:szCs w:val="28"/>
        </w:rPr>
        <w:t>24</w:t>
      </w:r>
      <w:r>
        <w:rPr>
          <w:rFonts w:hint="eastAsia"/>
          <w:sz w:val="28"/>
          <w:szCs w:val="28"/>
        </w:rPr>
        <w:t>、</w:t>
      </w:r>
      <w:r>
        <w:rPr>
          <w:sz w:val="28"/>
          <w:szCs w:val="28"/>
        </w:rPr>
        <w:t>25</w:t>
      </w:r>
      <w:r>
        <w:rPr>
          <w:rFonts w:hint="eastAsia"/>
          <w:sz w:val="28"/>
          <w:szCs w:val="28"/>
        </w:rPr>
        <w:t>、</w:t>
      </w:r>
      <w:r>
        <w:rPr>
          <w:sz w:val="28"/>
          <w:szCs w:val="28"/>
        </w:rPr>
        <w:t>26</w:t>
      </w:r>
      <w:r>
        <w:rPr>
          <w:rFonts w:hint="eastAsia"/>
          <w:sz w:val="28"/>
          <w:szCs w:val="28"/>
        </w:rPr>
        <w:t>、</w:t>
      </w:r>
      <w:r>
        <w:rPr>
          <w:sz w:val="28"/>
          <w:szCs w:val="28"/>
        </w:rPr>
        <w:t>27</w:t>
      </w:r>
      <w:r>
        <w:rPr>
          <w:rFonts w:hint="eastAsia"/>
          <w:sz w:val="28"/>
          <w:szCs w:val="28"/>
        </w:rPr>
        <w:t>、</w:t>
      </w:r>
      <w:r>
        <w:rPr>
          <w:sz w:val="28"/>
          <w:szCs w:val="28"/>
        </w:rPr>
        <w:t>35</w:t>
      </w:r>
      <w:r>
        <w:rPr>
          <w:rFonts w:hint="eastAsia"/>
          <w:sz w:val="28"/>
          <w:szCs w:val="28"/>
        </w:rPr>
        <w:t>、</w:t>
      </w:r>
      <w:r>
        <w:rPr>
          <w:sz w:val="28"/>
          <w:szCs w:val="28"/>
        </w:rPr>
        <w:t>40</w:t>
      </w:r>
      <w:r>
        <w:rPr>
          <w:rFonts w:hint="eastAsia"/>
          <w:sz w:val="28"/>
          <w:szCs w:val="28"/>
        </w:rPr>
        <w:t>、</w:t>
      </w:r>
      <w:r>
        <w:rPr>
          <w:sz w:val="28"/>
          <w:szCs w:val="28"/>
        </w:rPr>
        <w:t>41</w:t>
      </w:r>
      <w:r>
        <w:rPr>
          <w:rFonts w:hint="eastAsia"/>
          <w:sz w:val="28"/>
          <w:szCs w:val="28"/>
        </w:rPr>
        <w:t>、</w:t>
      </w:r>
      <w:r>
        <w:rPr>
          <w:sz w:val="28"/>
          <w:szCs w:val="28"/>
        </w:rPr>
        <w:t>44</w:t>
      </w:r>
      <w:r>
        <w:rPr>
          <w:rFonts w:hint="eastAsia"/>
          <w:sz w:val="28"/>
          <w:szCs w:val="28"/>
        </w:rPr>
        <w:t>条，共计</w:t>
      </w:r>
      <w:r>
        <w:rPr>
          <w:sz w:val="28"/>
          <w:szCs w:val="28"/>
        </w:rPr>
        <w:t>19</w:t>
      </w:r>
      <w:r>
        <w:rPr>
          <w:rFonts w:hint="eastAsia"/>
          <w:sz w:val="28"/>
          <w:szCs w:val="28"/>
        </w:rPr>
        <w:t>条）为</w:t>
      </w:r>
      <w:r>
        <w:rPr>
          <w:rFonts w:hint="eastAsia"/>
          <w:color w:val="000000"/>
          <w:sz w:val="28"/>
          <w:szCs w:val="28"/>
        </w:rPr>
        <w:t>刚性规定或量化指标，在填写</w:t>
      </w:r>
      <w:r>
        <w:rPr>
          <w:color w:val="000000"/>
          <w:sz w:val="28"/>
          <w:szCs w:val="28"/>
        </w:rPr>
        <w:t>“</w:t>
      </w:r>
      <w:r>
        <w:rPr>
          <w:rFonts w:hint="eastAsia"/>
          <w:color w:val="000000"/>
          <w:sz w:val="28"/>
          <w:szCs w:val="28"/>
        </w:rPr>
        <w:t>主要进展情况</w:t>
      </w:r>
      <w:r>
        <w:rPr>
          <w:color w:val="000000"/>
          <w:sz w:val="28"/>
          <w:szCs w:val="28"/>
        </w:rPr>
        <w:t>”“</w:t>
      </w:r>
      <w:r>
        <w:rPr>
          <w:rFonts w:hint="eastAsia"/>
          <w:color w:val="000000"/>
          <w:sz w:val="28"/>
          <w:szCs w:val="28"/>
        </w:rPr>
        <w:t>存在问题和不足</w:t>
      </w:r>
      <w:r>
        <w:rPr>
          <w:color w:val="000000"/>
          <w:sz w:val="28"/>
          <w:szCs w:val="28"/>
        </w:rPr>
        <w:t>”</w:t>
      </w:r>
      <w:r>
        <w:rPr>
          <w:rFonts w:hint="eastAsia"/>
          <w:color w:val="000000"/>
          <w:sz w:val="28"/>
          <w:szCs w:val="28"/>
        </w:rPr>
        <w:t>栏时要写清楚现状和差距，要量化表述，用数字来说明，具体到数量；在填写</w:t>
      </w:r>
      <w:r>
        <w:rPr>
          <w:color w:val="000000"/>
          <w:sz w:val="28"/>
          <w:szCs w:val="28"/>
        </w:rPr>
        <w:t>“</w:t>
      </w:r>
      <w:r>
        <w:rPr>
          <w:rFonts w:hint="eastAsia"/>
          <w:color w:val="000000"/>
          <w:sz w:val="28"/>
          <w:szCs w:val="28"/>
        </w:rPr>
        <w:t>整改措施</w:t>
      </w:r>
      <w:r>
        <w:rPr>
          <w:color w:val="000000"/>
          <w:sz w:val="28"/>
          <w:szCs w:val="28"/>
        </w:rPr>
        <w:t>”</w:t>
      </w:r>
      <w:r>
        <w:rPr>
          <w:rFonts w:hint="eastAsia"/>
          <w:color w:val="000000"/>
          <w:sz w:val="28"/>
          <w:szCs w:val="28"/>
        </w:rPr>
        <w:t>栏时要提出切实可行的具体措施，明确任务完成的时间节点，明确推进的进度安排和时间节点。</w:t>
      </w:r>
    </w:p>
    <w:p/>
    <w:sectPr>
      <w:footerReference w:type="default" r:id="rId2"/>
      <w:footerReference w:type="even" r:id="rId3"/>
      <w:pgSz w:w="16838" w:h="11906" w:orient="landscape"/>
      <w:pgMar w:top="1800" w:right="1440" w:bottom="1800" w:left="1440" w:header="851" w:footer="992" w:gutter="0"/>
      <w:pgNumType w:start="1"/>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SimHei"/>
    <w:panose1 w:val="02010600030101010101"/>
    <w:charset w:val="86"/>
    <w:family w:val="auto"/>
    <w:pitch w:val="variable"/>
    <w:sig w:usb0="00000001" w:usb1="080E0000" w:usb2="00000010" w:usb3="00000000" w:csb0="00040000" w:csb1="00000000"/>
  </w:font>
  <w:font w:name="方正小标宋简体">
    <w:altName w:val="宋体"/>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7"/>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7"/>
      </w:tabs>
    </w:pPr>
    <w:r>
      <w:rPr>
        <w:rStyle w:val="18"/>
      </w:rPr>
      <w:fldChar w:fldCharType="begin"/>
    </w:r>
    <w:r>
      <w:rPr>
        <w:rStyle w:val="18"/>
      </w:rPr>
      <w:instrText>Page</w:instrText>
    </w:r>
    <w:r>
      <w:rPr>
        <w:rStyle w:val="18"/>
      </w:rPr>
      <w:fldChar w:fldCharType="separate"/>
    </w:r>
    <w:r>
      <w:rPr>
        <w:rStyle w:val="18"/>
      </w:rPr>
      <w:t>1</w:t>
    </w:r>
    <w:r>
      <w:rPr>
        <w:rStyle w:val="18"/>
      </w:rPr>
      <w:fldChar w:fldCharType="end"/>
    </w:r>
  </w:p>
  <w:p>
    <w:pPr>
      <w:pStyle w:val="17"/>
      <w:tabs>
        <w:tab w:val="center" w:pos="4153"/>
        <w:tab w:val="right" w:pos="8307"/>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7"/>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7"/>
      </w:tabs>
    </w:pPr>
    <w:r>
      <w:rPr>
        <w:rStyle w:val="18"/>
      </w:rPr>
      <w:fldChar w:fldCharType="begin"/>
    </w:r>
    <w:r>
      <w:rPr>
        <w:rStyle w:val="18"/>
      </w:rPr>
      <w:instrText>Page</w:instrText>
    </w:r>
    <w:r>
      <w:rPr>
        <w:rStyle w:val="18"/>
      </w:rPr>
      <w:fldChar w:fldCharType="separate"/>
    </w:r>
    <w:r>
      <w:rPr>
        <w:rStyle w:val="18"/>
      </w:rPr>
      <w:t>1</w:t>
    </w:r>
    <w:r>
      <w:rPr>
        <w:rStyle w:val="18"/>
      </w:rPr>
      <w:fldChar w:fldCharType="end"/>
    </w:r>
  </w:p>
  <w:p>
    <w:pPr>
      <w:pStyle w:val="17"/>
      <w:tabs>
        <w:tab w:val="center" w:pos="4153"/>
        <w:tab w:val="right" w:pos="8307"/>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growAutofit/>
    <w:doNotUseIndentAsNumberingTabStop/>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pPr>
      <w:widowControl/>
      <w:spacing w:before="100" w:beforeAutospacing="1" w:after="100" w:afterAutospacing="1"/>
      <w:jc w:val="left"/>
      <w:outlineLvl w:val="0"/>
    </w:pPr>
    <w:rPr>
      <w:rFonts w:ascii="宋体" w:cs="宋体"/>
      <w:b/>
      <w:bCs/>
      <w:kern w:val="36"/>
      <w:sz w:val="48"/>
      <w:szCs w:val="48"/>
    </w:rPr>
  </w:style>
  <w:style w:type="character" w:default="1" w:styleId="10">
    <w:name w:val="Default Paragraph Font"/>
  </w:style>
  <w:style w:type="paragraph" w:styleId="15">
    <w:name w:val="Normal (Web)"/>
    <w:basedOn w:val="0"/>
    <w:pPr>
      <w:widowControl/>
      <w:spacing w:before="100" w:beforeAutospacing="1" w:after="100" w:afterAutospacing="1"/>
      <w:jc w:val="left"/>
    </w:pPr>
    <w:rPr>
      <w:rFonts w:ascii="宋体" w:cs="宋体"/>
      <w:kern w:val="0"/>
      <w:sz w:val="24"/>
    </w:rPr>
  </w:style>
  <w:style w:type="character" w:customStyle="1" w:styleId="16">
    <w:name w:val="form-textarea-print1"/>
    <w:basedOn w:val="10"/>
    <w:rPr>
      <w:rFonts w:cs="Times New Roman"/>
      <w:sz w:val="12"/>
      <w:szCs w:val="12"/>
    </w:rPr>
  </w:style>
  <w:style w:type="paragraph" w:styleId="17">
    <w:name w:val="footer"/>
    <w:basedOn w:val="0"/>
    <w:pPr>
      <w:tabs>
        <w:tab w:val="center" w:pos="4153"/>
        <w:tab w:val="right" w:pos="8307"/>
      </w:tabs>
      <w:snapToGrid w:val="0"/>
      <w:jc w:val="left"/>
    </w:pPr>
    <w:rPr>
      <w:sz w:val="18"/>
    </w:rPr>
  </w:style>
  <w:style w:type="character" w:styleId="18">
    <w:name w:val="page number"/>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813</TotalTime>
  <Application>Yozo_Office</Application>
  <Pages>8</Pages>
  <Words>2991</Words>
  <Characters>3071</Characters>
  <Lines>365</Lines>
  <Paragraphs>81</Paragraphs>
  <CharactersWithSpaces>3132</CharactersWithSpaces>
  <Company>CHINA</Company>
</Properties>
</file>

<file path=docProps/core.xml><?xml version="1.0" encoding="utf-8"?>
<cp:coreProperties xmlns:cp="http://schemas.openxmlformats.org/package/2006/metadata/core-properties" xmlns:dc="http://purl.org/dc/elements/1.1/" xmlns:dcterms="http://purl.org/dc/terms/" xmlns:xsi="http://www.w3.org/2001/XMLSchema-instance">
  <dc:creator>dreamsummit</dc:creator>
  <cp:lastModifiedBy>Windows 用户</cp:lastModifiedBy>
  <cp:revision>19</cp:revision>
  <cp:lastPrinted>2018-10-22T02:10:48Z</cp:lastPrinted>
  <dcterms:created xsi:type="dcterms:W3CDTF">2018-10-15T03:03:00Z</dcterms:created>
  <dcterms:modified xsi:type="dcterms:W3CDTF">2019-03-19T07:40:34Z</dcterms:modified>
</cp:coreProperties>
</file>