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31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2"/>
        <w:gridCol w:w="2068"/>
        <w:gridCol w:w="1225"/>
        <w:gridCol w:w="4905"/>
        <w:gridCol w:w="765"/>
        <w:gridCol w:w="1155"/>
        <w:gridCol w:w="990"/>
        <w:gridCol w:w="1140"/>
        <w:gridCol w:w="163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广东海洋大学申购货物清单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申购单位：</w:t>
            </w:r>
          </w:p>
        </w:tc>
        <w:tc>
          <w:tcPr>
            <w:tcW w:w="6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水产学院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2019.11.7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50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613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发电机组购置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经办人及联系电话：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黄老师18826699681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</w:t>
            </w:r>
            <w:r>
              <w:rPr>
                <w:rStyle w:val="14"/>
                <w:lang w:val="en-US" w:eastAsia="zh-CN" w:bidi="ar"/>
              </w:rPr>
              <w:t>名称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主要配置、技术参数及商务条款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数量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拟存放地点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发电机组购置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100KW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康明斯兰电发电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机组</w:t>
            </w: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见附件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人民币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95000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95000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兴海楼212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1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95000</w:t>
            </w:r>
          </w:p>
        </w:tc>
      </w:tr>
    </w:tbl>
    <w:p/>
    <w:p/>
    <w:p/>
    <w:p/>
    <w:p/>
    <w:p/>
    <w:p/>
    <w:p/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附件：</w:t>
      </w:r>
    </w:p>
    <w:p>
      <w:pPr>
        <w:numPr>
          <w:ilvl w:val="0"/>
          <w:numId w:val="0"/>
        </w:numPr>
        <w:spacing w:after="3" w:afterLines="1" w:line="200" w:lineRule="atLeast"/>
        <w:jc w:val="center"/>
        <w:rPr>
          <w:rFonts w:hint="eastAsia" w:ascii="宋体" w:hAnsi="宋体" w:cs="宋体"/>
          <w:bCs/>
          <w:sz w:val="21"/>
          <w:szCs w:val="44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100KW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康明斯兰电发电</w:t>
      </w:r>
      <w:r>
        <w:rPr>
          <w:rFonts w:hint="eastAsia" w:ascii="宋体" w:hAnsi="宋体" w:cs="宋体"/>
          <w:b/>
          <w:bCs w:val="0"/>
          <w:sz w:val="28"/>
          <w:szCs w:val="28"/>
        </w:rPr>
        <w:t>机组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主要配置、技术参数及商务条款</w:t>
      </w:r>
    </w:p>
    <w:tbl>
      <w:tblPr>
        <w:tblStyle w:val="5"/>
        <w:tblW w:w="11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4303"/>
        <w:gridCol w:w="67"/>
        <w:gridCol w:w="842"/>
        <w:gridCol w:w="84"/>
        <w:gridCol w:w="992"/>
        <w:gridCol w:w="147"/>
        <w:gridCol w:w="1212"/>
        <w:gridCol w:w="629"/>
        <w:gridCol w:w="1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908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序号</w:t>
            </w:r>
          </w:p>
        </w:tc>
        <w:tc>
          <w:tcPr>
            <w:tcW w:w="4370" w:type="dxa"/>
            <w:gridSpan w:val="2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项目名称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单位</w:t>
            </w: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数量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单价（元）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908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4370" w:type="dxa"/>
            <w:gridSpan w:val="2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8"/>
                <w:szCs w:val="28"/>
                <w:lang w:val="en-US" w:eastAsia="zh-CN"/>
              </w:rPr>
              <w:t>100KW康明斯兰电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8"/>
                <w:szCs w:val="28"/>
              </w:rPr>
              <w:t>发电机组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台</w:t>
            </w: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85000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85000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08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370" w:type="dxa"/>
            <w:gridSpan w:val="2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default" w:ascii="宋体" w:hAnsi="宋体" w:cs="宋体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8"/>
                <w:szCs w:val="28"/>
                <w:lang w:val="en-US" w:eastAsia="zh-CN"/>
              </w:rPr>
              <w:t>100A  ATS切换柜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个</w:t>
            </w: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7000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908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370" w:type="dxa"/>
            <w:gridSpan w:val="2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8"/>
                <w:szCs w:val="28"/>
                <w:lang w:val="en-US" w:eastAsia="zh-CN"/>
              </w:rPr>
              <w:t>1000升油箱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个</w:t>
            </w: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3000</w:t>
            </w:r>
          </w:p>
        </w:tc>
        <w:tc>
          <w:tcPr>
            <w:tcW w:w="1844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908" w:type="dxa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6435" w:type="dxa"/>
            <w:gridSpan w:val="6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3685" w:type="dxa"/>
            <w:gridSpan w:val="3"/>
            <w:noWrap w:val="0"/>
            <w:vAlign w:val="center"/>
          </w:tcPr>
          <w:p>
            <w:pPr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95000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120" w:type="dxa"/>
            <w:gridSpan w:val="9"/>
            <w:noWrap w:val="0"/>
            <w:vAlign w:val="center"/>
          </w:tcPr>
          <w:p>
            <w:pPr>
              <w:spacing w:after="3" w:afterLines="1" w:line="200" w:lineRule="atLeast"/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柴油机型号：6BTAA5.9-G2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eastAsia="zh-CN"/>
              </w:rPr>
              <w:t>功率：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 xml:space="preserve">130KW  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厂名：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康明斯动力技术有限公司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0120" w:type="dxa"/>
            <w:gridSpan w:val="9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both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发电机型号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</w:rPr>
              <w:t>：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 xml:space="preserve">TZHW3-100kw   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eastAsia="zh-CN"/>
              </w:rPr>
              <w:t>功率：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 xml:space="preserve">100KW   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 xml:space="preserve"> 厂名：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兰州电机股份有限公司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0120" w:type="dxa"/>
            <w:gridSpan w:val="9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both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发电机组电流: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180A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 xml:space="preserve">功率因数: 0.8滞后   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 xml:space="preserve"> 频率:50HZ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0A电池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个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9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机油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升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防震胶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块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吸油管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条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空气开关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个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电池线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套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消声器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个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柴油机、电机说明、合格证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套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基本安装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项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标配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08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303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保质期售后服务</w:t>
            </w:r>
          </w:p>
        </w:tc>
        <w:tc>
          <w:tcPr>
            <w:tcW w:w="993" w:type="dxa"/>
            <w:gridSpan w:val="3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ind w:firstLine="560" w:firstLineChars="200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both"/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按厂家质量三包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1028" w:type="dxa"/>
            <w:gridSpan w:val="10"/>
            <w:noWrap w:val="0"/>
            <w:vAlign w:val="center"/>
          </w:tcPr>
          <w:p>
            <w:pPr>
              <w:widowControl w:val="0"/>
              <w:spacing w:after="3" w:afterLines="1" w:line="200" w:lineRule="atLeast"/>
              <w:jc w:val="both"/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备注：含税、含运费（湛江市内）。</w:t>
            </w:r>
          </w:p>
        </w:tc>
      </w:tr>
    </w:tbl>
    <w:p/>
    <w:p>
      <w:pPr>
        <w:pStyle w:val="2"/>
        <w:numPr>
          <w:ilvl w:val="1"/>
          <w:numId w:val="0"/>
        </w:numPr>
        <w:tabs>
          <w:tab w:val="clear" w:pos="0"/>
        </w:tabs>
      </w:pPr>
    </w:p>
    <w:p>
      <w:pPr>
        <w:pStyle w:val="2"/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/>
    <w:p>
      <w:pPr>
        <w:pStyle w:val="2"/>
        <w:numPr>
          <w:ilvl w:val="0"/>
          <w:numId w:val="2"/>
        </w:numPr>
        <w:tabs>
          <w:tab w:val="clear" w:pos="0"/>
        </w:tabs>
        <w:jc w:val="both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 w:bidi="ar-SA"/>
        </w:rPr>
        <w:t>康明斯发动机参数：6BTAA5.9-G2</w:t>
      </w:r>
    </w:p>
    <w:p>
      <w:pPr>
        <w:jc w:val="center"/>
      </w:pPr>
      <w:r>
        <w:drawing>
          <wp:inline distT="0" distB="0" distL="114300" distR="114300">
            <wp:extent cx="5882640" cy="6728460"/>
            <wp:effectExtent l="0" t="0" r="381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82640" cy="672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  <w:jc w:val="center"/>
      </w:pPr>
      <w:r>
        <w:drawing>
          <wp:inline distT="0" distB="0" distL="114300" distR="114300">
            <wp:extent cx="5478780" cy="685038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685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 w:ascii="Times New Roman" w:hAnsi="Times New Roman" w:cs="Times New Roman"/>
          <w:sz w:val="18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936105" cy="3923030"/>
            <wp:effectExtent l="0" t="0" r="1714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36105" cy="392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numPr>
          <w:ilvl w:val="0"/>
          <w:numId w:val="0"/>
        </w:numPr>
        <w:ind w:leftChars="0"/>
        <w:jc w:val="left"/>
        <w:rPr>
          <w:rFonts w:hint="eastAsia" w:hAnsi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hAnsi="宋体"/>
          <w:b/>
          <w:sz w:val="28"/>
          <w:szCs w:val="28"/>
          <w:lang w:val="en-US" w:eastAsia="zh-CN"/>
        </w:rPr>
        <w:t>（二）100KW</w:t>
      </w:r>
      <w:r>
        <w:rPr>
          <w:rFonts w:hint="eastAsia" w:hAnsi="宋体"/>
          <w:b/>
          <w:sz w:val="28"/>
          <w:szCs w:val="28"/>
          <w:lang w:eastAsia="zh-CN"/>
        </w:rPr>
        <w:t>兰电电机技术参数</w:t>
      </w:r>
    </w:p>
    <w:tbl>
      <w:tblPr>
        <w:tblStyle w:val="5"/>
        <w:tblW w:w="994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8"/>
        <w:gridCol w:w="72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268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6"/>
                <w:sz w:val="24"/>
                <w:szCs w:val="24"/>
                <w:lang w:val="en-US" w:eastAsia="zh-CN" w:bidi="ar"/>
              </w:rPr>
              <w:t>发电机型号</w:t>
            </w:r>
          </w:p>
        </w:tc>
        <w:tc>
          <w:tcPr>
            <w:tcW w:w="726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TZHW3-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250L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4-TH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sz w:val="24"/>
                <w:szCs w:val="24"/>
                <w:lang w:val="en-US" w:eastAsia="zh-CN" w:bidi="ar"/>
              </w:rPr>
              <w:t>控制系统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7"/>
                <w:sz w:val="24"/>
                <w:szCs w:val="24"/>
                <w:lang w:val="en-US" w:eastAsia="zh-CN" w:bidi="ar"/>
              </w:rPr>
              <w:t>无刷自励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sz w:val="24"/>
                <w:szCs w:val="24"/>
                <w:lang w:val="en-US" w:eastAsia="zh-CN" w:bidi="ar"/>
              </w:rPr>
              <w:t>额定功率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7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17"/>
                <w:rFonts w:hint="eastAsia"/>
                <w:sz w:val="24"/>
                <w:szCs w:val="24"/>
                <w:lang w:val="en-US" w:eastAsia="zh-CN" w:bidi="ar"/>
              </w:rPr>
              <w:t>100KW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sz w:val="24"/>
                <w:szCs w:val="24"/>
                <w:lang w:val="en-US" w:eastAsia="zh-CN" w:bidi="ar"/>
              </w:rPr>
              <w:t>额定电流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7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17"/>
                <w:rFonts w:hint="eastAsia"/>
                <w:sz w:val="24"/>
                <w:szCs w:val="24"/>
                <w:lang w:val="en-US" w:eastAsia="zh-CN" w:bidi="ar"/>
              </w:rPr>
              <w:t>180A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sz w:val="24"/>
                <w:szCs w:val="24"/>
                <w:lang w:val="en-US" w:eastAsia="zh-CN" w:bidi="ar"/>
              </w:rPr>
              <w:t>效率（%）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7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17"/>
                <w:rFonts w:hint="eastAsia"/>
                <w:sz w:val="24"/>
                <w:szCs w:val="24"/>
                <w:lang w:val="en-US" w:eastAsia="zh-CN" w:bidi="ar"/>
              </w:rPr>
              <w:t>91.6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sz w:val="24"/>
                <w:szCs w:val="24"/>
                <w:lang w:val="en-US" w:eastAsia="zh-CN" w:bidi="ar"/>
              </w:rPr>
              <w:t>电压调节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7"/>
                <w:sz w:val="24"/>
                <w:szCs w:val="24"/>
                <w:lang w:val="en-US" w:eastAsia="zh-CN" w:bidi="ar"/>
              </w:rPr>
              <w:t>± 1.0 %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sz w:val="24"/>
                <w:szCs w:val="24"/>
                <w:lang w:val="en-US" w:eastAsia="zh-CN" w:bidi="ar"/>
              </w:rPr>
              <w:t>绝缘系统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7"/>
                <w:sz w:val="24"/>
                <w:szCs w:val="24"/>
                <w:lang w:val="en-US" w:eastAsia="zh-CN" w:bidi="ar"/>
              </w:rPr>
              <w:t>H 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sz w:val="24"/>
                <w:szCs w:val="24"/>
                <w:lang w:val="en-US" w:eastAsia="zh-CN" w:bidi="ar"/>
              </w:rPr>
              <w:t>防护等级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Style w:val="17"/>
                <w:sz w:val="24"/>
                <w:szCs w:val="24"/>
                <w:lang w:val="en-US" w:eastAsia="zh-CN" w:bidi="ar"/>
              </w:rPr>
              <w:t>IP2</w:t>
            </w:r>
            <w:r>
              <w:rPr>
                <w:rStyle w:val="17"/>
                <w:rFonts w:hint="eastAsia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sz w:val="24"/>
                <w:szCs w:val="24"/>
                <w:lang w:val="en-US" w:eastAsia="zh-CN" w:bidi="ar"/>
              </w:rPr>
              <w:t>额定功率因数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额定电压：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400/230 V,三相四线制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1" w:firstLineChars="10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额定功率因数: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0.8（滞后）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额定频率：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50Hz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电压整定范围：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＞5% U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稳态电压调整率：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1%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额定功率因数: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default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0.8（滞后）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瞬态电压调整率：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default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85%～120% U，≤1S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线电压波形正弦性畸变率：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≤5%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能在热态下过载10%运行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1h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海拔高度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≤1000m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空气温度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≤40</w:t>
            </w:r>
            <w:r>
              <w:rPr>
                <w:rStyle w:val="14"/>
                <w:rFonts w:hint="eastAsia" w:ascii="宋体" w:hAnsi="宋体" w:eastAsia="宋体" w:cs="宋体"/>
                <w:i w:val="0"/>
                <w:sz w:val="24"/>
                <w:szCs w:val="24"/>
                <w:lang w:val="en-US" w:eastAsia="zh-CN" w:bidi="ar"/>
              </w:rPr>
              <w:t>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268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 xml:space="preserve">      重量</w:t>
            </w:r>
          </w:p>
        </w:tc>
        <w:tc>
          <w:tcPr>
            <w:tcW w:w="7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/>
                <w:i w:val="0"/>
                <w:sz w:val="24"/>
                <w:szCs w:val="24"/>
                <w:lang w:val="en-US" w:eastAsia="zh-CN" w:bidi="ar"/>
              </w:rPr>
              <w:t>605KG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clear" w:pos="0"/>
        </w:tabs>
        <w:rPr>
          <w:rFonts w:hint="default" w:ascii="宋体" w:hAnsi="宋体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 xml:space="preserve">（三）众智控制器 </w:t>
      </w:r>
    </w:p>
    <w:p>
      <w:pPr>
        <w:pStyle w:val="2"/>
        <w:numPr>
          <w:ilvl w:val="1"/>
          <w:numId w:val="0"/>
        </w:numPr>
        <w:tabs>
          <w:tab w:val="clear" w:pos="0"/>
        </w:tabs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9" w:charSpace="0"/>
        </w:sectPr>
      </w:pPr>
      <w:r>
        <w:drawing>
          <wp:inline distT="0" distB="0" distL="114300" distR="114300">
            <wp:extent cx="5933440" cy="2520950"/>
            <wp:effectExtent l="0" t="0" r="10160" b="1270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40" w:beforeLines="100" w:after="240" w:afterLines="100" w:line="300" w:lineRule="auto"/>
        <w:jc w:val="both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253627"/>
    <w:multiLevelType w:val="multilevel"/>
    <w:tmpl w:val="8F253627"/>
    <w:lvl w:ilvl="0" w:tentative="0">
      <w:start w:val="1"/>
      <w:numFmt w:val="chineseCountingThousand"/>
      <w:suff w:val="nothing"/>
      <w:lvlText w:val="第%1章"/>
      <w:lvlJc w:val="left"/>
      <w:pPr>
        <w:tabs>
          <w:tab w:val="left" w:pos="710"/>
        </w:tabs>
        <w:ind w:left="710"/>
      </w:pPr>
      <w:rPr>
        <w:rFonts w:cs="Times New Roman"/>
      </w:rPr>
    </w:lvl>
    <w:lvl w:ilvl="1" w:tentative="0">
      <w:start w:val="1"/>
      <w:numFmt w:val="decimal"/>
      <w:pStyle w:val="2"/>
      <w:lvlText w:val="%2."/>
      <w:lvlJc w:val="left"/>
      <w:pPr>
        <w:tabs>
          <w:tab w:val="left" w:pos="0"/>
        </w:tabs>
      </w:pPr>
      <w:rPr>
        <w:rFonts w:cs="Times New Roman"/>
      </w:rPr>
    </w:lvl>
    <w:lvl w:ilvl="2" w:tentative="0">
      <w:start w:val="1"/>
      <w:numFmt w:val="decimal"/>
      <w:lvlText w:val="1.%3"/>
      <w:lvlJc w:val="left"/>
      <w:pPr>
        <w:tabs>
          <w:tab w:val="left" w:pos="0"/>
        </w:tabs>
      </w:pPr>
      <w:rPr>
        <w:rFonts w:hint="eastAsia" w:cs="Times New Roman"/>
      </w:rPr>
    </w:lvl>
    <w:lvl w:ilvl="3" w:tentative="0">
      <w:start w:val="1"/>
      <w:numFmt w:val="decimal"/>
      <w:lvlText w:val="4.%4"/>
      <w:lvlJc w:val="left"/>
      <w:pPr>
        <w:tabs>
          <w:tab w:val="left" w:pos="0"/>
        </w:tabs>
      </w:pPr>
      <w:rPr>
        <w:rFonts w:hint="eastAsia" w:ascii="宋体" w:hAnsi="宋体" w:eastAsia="宋体" w:cs="Times New Roman"/>
        <w:b w:val="0"/>
      </w:r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1">
    <w:nsid w:val="A11B13AA"/>
    <w:multiLevelType w:val="singleLevel"/>
    <w:tmpl w:val="A11B13A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B1373"/>
    <w:rsid w:val="1BA16ACE"/>
    <w:rsid w:val="54927CF5"/>
    <w:rsid w:val="5EBC4E6C"/>
    <w:rsid w:val="7742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tabs>
        <w:tab w:val="left" w:pos="993"/>
        <w:tab w:val="left" w:pos="2836"/>
      </w:tabs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0066CC"/>
      <w:u w:val="none"/>
    </w:rPr>
  </w:style>
  <w:style w:type="character" w:styleId="9">
    <w:name w:val="HTML Definition"/>
    <w:basedOn w:val="6"/>
    <w:qFormat/>
    <w:uiPriority w:val="0"/>
    <w:rPr>
      <w:i/>
    </w:rPr>
  </w:style>
  <w:style w:type="character" w:styleId="10">
    <w:name w:val="Hyperlink"/>
    <w:basedOn w:val="6"/>
    <w:qFormat/>
    <w:uiPriority w:val="0"/>
    <w:rPr>
      <w:color w:val="0066CC"/>
      <w:u w:val="none"/>
    </w:rPr>
  </w:style>
  <w:style w:type="character" w:styleId="11">
    <w:name w:val="HTML Code"/>
    <w:basedOn w:val="6"/>
    <w:qFormat/>
    <w:uiPriority w:val="0"/>
    <w:rPr>
      <w:rFonts w:ascii="serif" w:hAnsi="serif" w:eastAsia="serif" w:cs="serif"/>
      <w:sz w:val="21"/>
      <w:szCs w:val="21"/>
    </w:rPr>
  </w:style>
  <w:style w:type="character" w:styleId="12">
    <w:name w:val="HTML Keyboard"/>
    <w:basedOn w:val="6"/>
    <w:qFormat/>
    <w:uiPriority w:val="0"/>
    <w:rPr>
      <w:rFonts w:hint="default" w:ascii="serif" w:hAnsi="serif" w:eastAsia="serif" w:cs="serif"/>
      <w:sz w:val="21"/>
      <w:szCs w:val="21"/>
    </w:rPr>
  </w:style>
  <w:style w:type="character" w:styleId="13">
    <w:name w:val="HTML Sample"/>
    <w:basedOn w:val="6"/>
    <w:qFormat/>
    <w:uiPriority w:val="0"/>
    <w:rPr>
      <w:rFonts w:hint="default" w:ascii="serif" w:hAnsi="serif" w:eastAsia="serif" w:cs="serif"/>
      <w:sz w:val="21"/>
      <w:szCs w:val="21"/>
    </w:rPr>
  </w:style>
  <w:style w:type="character" w:customStyle="1" w:styleId="14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paragraph" w:customStyle="1" w:styleId="1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6">
    <w:name w:val="font31"/>
    <w:basedOn w:val="6"/>
    <w:qFormat/>
    <w:uiPriority w:val="0"/>
    <w:rPr>
      <w:rFonts w:hint="eastAsia" w:ascii="宋体" w:hAnsi="宋体" w:eastAsia="宋体" w:cs="宋体"/>
      <w:color w:val="000000"/>
      <w:sz w:val="33"/>
      <w:szCs w:val="33"/>
      <w:u w:val="none"/>
    </w:rPr>
  </w:style>
  <w:style w:type="character" w:customStyle="1" w:styleId="17">
    <w:name w:val="font11"/>
    <w:basedOn w:val="6"/>
    <w:qFormat/>
    <w:uiPriority w:val="0"/>
    <w:rPr>
      <w:rFonts w:hint="eastAsia" w:ascii="宋体" w:hAnsi="宋体" w:eastAsia="宋体" w:cs="宋体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chenwenhe</dc:creator>
  <cp:lastModifiedBy>陈文何</cp:lastModifiedBy>
  <dcterms:modified xsi:type="dcterms:W3CDTF">2019-11-20T23:35:24Z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